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3669"/>
        <w:tblW w:w="10195" w:type="dxa"/>
        <w:tblLayout w:type="fixed"/>
        <w:tblLook w:val="0000" w:firstRow="0" w:lastRow="0" w:firstColumn="0" w:lastColumn="0" w:noHBand="0" w:noVBand="0"/>
      </w:tblPr>
      <w:tblGrid>
        <w:gridCol w:w="10195"/>
      </w:tblGrid>
      <w:tr w:rsidR="00955EA9" w14:paraId="4CBAA81F" w14:textId="77777777" w:rsidTr="00955EA9">
        <w:tc>
          <w:tcPr>
            <w:tcW w:w="10195" w:type="dxa"/>
            <w:shd w:val="clear" w:color="auto" w:fill="auto"/>
            <w:vAlign w:val="center"/>
          </w:tcPr>
          <w:p w14:paraId="7950D477" w14:textId="77777777" w:rsidR="00B4649D" w:rsidRPr="00955EA9" w:rsidRDefault="00B4649D" w:rsidP="00B4649D">
            <w:pPr>
              <w:pStyle w:val="Nzev"/>
              <w:jc w:val="left"/>
            </w:pPr>
            <w:r w:rsidRPr="00955EA9">
              <w:t>LEED BD+C</w:t>
            </w:r>
            <w:r>
              <w:t xml:space="preserve"> v4</w:t>
            </w:r>
            <w:r w:rsidRPr="00955EA9">
              <w:t xml:space="preserve"> </w:t>
            </w:r>
            <w:proofErr w:type="spellStart"/>
            <w:r w:rsidRPr="00955EA9">
              <w:t>Core</w:t>
            </w:r>
            <w:proofErr w:type="spellEnd"/>
            <w:r w:rsidRPr="00955EA9">
              <w:t xml:space="preserve"> and Shell</w:t>
            </w:r>
          </w:p>
          <w:p w14:paraId="19E5ABDA" w14:textId="77777777" w:rsidR="00372215" w:rsidRPr="00372215" w:rsidRDefault="00372215" w:rsidP="00372215">
            <w:pPr>
              <w:rPr>
                <w:lang w:eastAsia="ar-SA"/>
              </w:rPr>
            </w:pPr>
          </w:p>
          <w:p w14:paraId="20A7578F" w14:textId="77777777" w:rsidR="00B4649D" w:rsidRPr="00955EA9" w:rsidRDefault="00B4649D" w:rsidP="00B4649D">
            <w:pPr>
              <w:pStyle w:val="Nzev"/>
              <w:jc w:val="left"/>
            </w:pPr>
            <w:r>
              <w:t>Standardy pro výstavbu klientských vestaveb a povinnosti pro vybavení těchto prostor</w:t>
            </w:r>
          </w:p>
          <w:p w14:paraId="30086295" w14:textId="77777777" w:rsidR="00955EA9" w:rsidRDefault="00955EA9" w:rsidP="00955EA9">
            <w:pPr>
              <w:pStyle w:val="Nzev"/>
              <w:jc w:val="left"/>
            </w:pPr>
          </w:p>
        </w:tc>
      </w:tr>
      <w:tr w:rsidR="00955EA9" w14:paraId="713FDB0F" w14:textId="77777777" w:rsidTr="00955EA9">
        <w:trPr>
          <w:trHeight w:val="60"/>
        </w:trPr>
        <w:tc>
          <w:tcPr>
            <w:tcW w:w="10195" w:type="dxa"/>
            <w:shd w:val="clear" w:color="auto" w:fill="auto"/>
            <w:vAlign w:val="center"/>
          </w:tcPr>
          <w:p w14:paraId="611F569D" w14:textId="77777777" w:rsidR="00B4649D" w:rsidRDefault="00B4649D" w:rsidP="00B4649D">
            <w:pPr>
              <w:pStyle w:val="Nzev"/>
              <w:jc w:val="left"/>
            </w:pPr>
            <w:r>
              <w:t xml:space="preserve">Brno New </w:t>
            </w:r>
            <w:proofErr w:type="spellStart"/>
            <w:r>
              <w:t>Town</w:t>
            </w:r>
            <w:proofErr w:type="spellEnd"/>
            <w:r>
              <w:t xml:space="preserve"> Square</w:t>
            </w:r>
          </w:p>
          <w:p w14:paraId="2FD09DBB" w14:textId="35EF024A" w:rsidR="00955EA9" w:rsidRDefault="00B4649D" w:rsidP="004C0257">
            <w:pPr>
              <w:pStyle w:val="Nzev"/>
              <w:jc w:val="left"/>
            </w:pPr>
            <w:r>
              <w:t xml:space="preserve">část </w:t>
            </w:r>
            <w:r w:rsidR="004C0257">
              <w:t>kanceláří</w:t>
            </w:r>
          </w:p>
        </w:tc>
      </w:tr>
      <w:tr w:rsidR="00955EA9" w:rsidRPr="00A90099" w14:paraId="633E58A2" w14:textId="77777777" w:rsidTr="00955EA9">
        <w:trPr>
          <w:trHeight w:val="60"/>
        </w:trPr>
        <w:tc>
          <w:tcPr>
            <w:tcW w:w="10195" w:type="dxa"/>
            <w:shd w:val="clear" w:color="auto" w:fill="auto"/>
          </w:tcPr>
          <w:p w14:paraId="39C3BD45" w14:textId="77777777" w:rsidR="00955EA9" w:rsidRDefault="00955EA9" w:rsidP="00955EA9">
            <w:pPr>
              <w:pStyle w:val="Normlntextstudie"/>
              <w:numPr>
                <w:ilvl w:val="0"/>
                <w:numId w:val="0"/>
              </w:numPr>
            </w:pPr>
          </w:p>
          <w:p w14:paraId="2540CC6C" w14:textId="77777777" w:rsidR="00955EA9" w:rsidRDefault="00955EA9" w:rsidP="00955EA9">
            <w:pPr>
              <w:pStyle w:val="Normlntextstudie"/>
              <w:numPr>
                <w:ilvl w:val="0"/>
                <w:numId w:val="0"/>
              </w:numPr>
            </w:pPr>
          </w:p>
          <w:p w14:paraId="41EF023B" w14:textId="77777777" w:rsidR="00955EA9" w:rsidRDefault="00955EA9" w:rsidP="00955EA9">
            <w:pPr>
              <w:pStyle w:val="Normlntextstudie"/>
              <w:numPr>
                <w:ilvl w:val="0"/>
                <w:numId w:val="0"/>
              </w:numPr>
            </w:pPr>
          </w:p>
          <w:p w14:paraId="093577B7" w14:textId="6372ED27" w:rsidR="00955EA9" w:rsidRPr="00A90099" w:rsidRDefault="0038626D" w:rsidP="00955EA9">
            <w:pPr>
              <w:pStyle w:val="Normlntextstudie"/>
              <w:numPr>
                <w:ilvl w:val="0"/>
                <w:numId w:val="0"/>
              </w:numPr>
            </w:pPr>
            <w:r>
              <w:t>Upraveno</w:t>
            </w:r>
            <w:r w:rsidR="00315166">
              <w:t xml:space="preserve">: </w:t>
            </w:r>
            <w:r w:rsidR="003E14F0">
              <w:t>13.3.2025</w:t>
            </w:r>
          </w:p>
        </w:tc>
      </w:tr>
    </w:tbl>
    <w:p w14:paraId="69DB1EAF" w14:textId="77777777" w:rsidR="00955EA9" w:rsidRPr="00372215" w:rsidRDefault="00955EA9" w:rsidP="00372215">
      <w:pPr>
        <w:pStyle w:val="Nzev"/>
        <w:jc w:val="left"/>
      </w:pPr>
    </w:p>
    <w:p w14:paraId="163505A1" w14:textId="77777777" w:rsidR="00955EA9" w:rsidRPr="00372215" w:rsidRDefault="00955EA9" w:rsidP="00372215">
      <w:pPr>
        <w:pStyle w:val="Nzev"/>
        <w:jc w:val="left"/>
      </w:pPr>
    </w:p>
    <w:p w14:paraId="0B25B41A" w14:textId="77777777" w:rsidR="00955EA9" w:rsidRDefault="00955EA9" w:rsidP="00372215">
      <w:pPr>
        <w:pStyle w:val="Nzev"/>
        <w:jc w:val="left"/>
      </w:pPr>
    </w:p>
    <w:p w14:paraId="407B0F47" w14:textId="77777777" w:rsidR="00AE1AC1" w:rsidRDefault="00AE1AC1" w:rsidP="00AE1AC1">
      <w:pPr>
        <w:rPr>
          <w:lang w:eastAsia="ar-SA"/>
        </w:rPr>
      </w:pPr>
      <w:r>
        <w:rPr>
          <w:lang w:eastAsia="ar-SA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cs-CZ"/>
        </w:rPr>
        <w:id w:val="344680078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14:paraId="4C05FBB9" w14:textId="77777777" w:rsidR="0020795E" w:rsidRDefault="0020795E" w:rsidP="0020795E">
          <w:pPr>
            <w:pStyle w:val="Nadpisobsahu"/>
            <w:rPr>
              <w:rFonts w:ascii="Arial" w:eastAsia="Times New Roman" w:hAnsi="Arial" w:cs="Arial"/>
              <w:b w:val="0"/>
              <w:bCs w:val="0"/>
              <w:smallCaps/>
              <w:color w:val="auto"/>
              <w:sz w:val="36"/>
              <w:szCs w:val="20"/>
              <w:lang w:eastAsia="ar-SA"/>
            </w:rPr>
          </w:pPr>
          <w:r w:rsidRPr="0020795E">
            <w:rPr>
              <w:rFonts w:ascii="Arial" w:eastAsia="Times New Roman" w:hAnsi="Arial" w:cs="Arial"/>
              <w:b w:val="0"/>
              <w:bCs w:val="0"/>
              <w:smallCaps/>
              <w:color w:val="auto"/>
              <w:sz w:val="36"/>
              <w:szCs w:val="20"/>
              <w:lang w:eastAsia="ar-SA"/>
            </w:rPr>
            <w:t>OBSAH</w:t>
          </w:r>
        </w:p>
        <w:p w14:paraId="1C96B563" w14:textId="77777777" w:rsidR="0020795E" w:rsidRPr="0075539D" w:rsidRDefault="0020795E" w:rsidP="0020795E">
          <w:pPr>
            <w:rPr>
              <w:rFonts w:ascii="Arial" w:hAnsi="Arial" w:cs="Arial"/>
              <w:sz w:val="20"/>
              <w:lang w:eastAsia="ar-SA"/>
            </w:rPr>
          </w:pPr>
        </w:p>
        <w:p w14:paraId="14549240" w14:textId="3EB28805" w:rsidR="00710372" w:rsidRDefault="00B91621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r w:rsidRPr="0075539D">
            <w:rPr>
              <w:rFonts w:ascii="Arial" w:hAnsi="Arial" w:cs="Arial"/>
              <w:sz w:val="20"/>
            </w:rPr>
            <w:fldChar w:fldCharType="begin"/>
          </w:r>
          <w:r w:rsidR="0020795E" w:rsidRPr="0075539D">
            <w:rPr>
              <w:rFonts w:ascii="Arial" w:hAnsi="Arial" w:cs="Arial"/>
              <w:sz w:val="20"/>
            </w:rPr>
            <w:instrText xml:space="preserve"> TOC \o "1-3" \h \z \u </w:instrText>
          </w:r>
          <w:r w:rsidRPr="0075539D">
            <w:rPr>
              <w:rFonts w:ascii="Arial" w:hAnsi="Arial" w:cs="Arial"/>
              <w:sz w:val="20"/>
            </w:rPr>
            <w:fldChar w:fldCharType="separate"/>
          </w:r>
          <w:hyperlink w:anchor="_Toc192780886" w:history="1">
            <w:r w:rsidR="00710372" w:rsidRPr="00F46DA7">
              <w:rPr>
                <w:rStyle w:val="Hypertextovodkaz"/>
                <w:noProof/>
              </w:rPr>
              <w:t>1.</w:t>
            </w:r>
            <w:r w:rsidR="00710372"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710372" w:rsidRPr="00F46DA7">
              <w:rPr>
                <w:rStyle w:val="Hypertextovodkaz"/>
                <w:noProof/>
              </w:rPr>
              <w:t>Standardy pro výstavbu fit-outů – standardy technologie a výrobků určuje developer</w:t>
            </w:r>
            <w:r w:rsidR="00710372">
              <w:rPr>
                <w:noProof/>
                <w:webHidden/>
              </w:rPr>
              <w:tab/>
            </w:r>
            <w:r w:rsidR="00710372">
              <w:rPr>
                <w:noProof/>
                <w:webHidden/>
              </w:rPr>
              <w:fldChar w:fldCharType="begin"/>
            </w:r>
            <w:r w:rsidR="00710372">
              <w:rPr>
                <w:noProof/>
                <w:webHidden/>
              </w:rPr>
              <w:instrText xml:space="preserve"> PAGEREF _Toc192780886 \h </w:instrText>
            </w:r>
            <w:r w:rsidR="00710372">
              <w:rPr>
                <w:noProof/>
                <w:webHidden/>
              </w:rPr>
            </w:r>
            <w:r w:rsidR="00710372">
              <w:rPr>
                <w:noProof/>
                <w:webHidden/>
              </w:rPr>
              <w:fldChar w:fldCharType="separate"/>
            </w:r>
            <w:r w:rsidR="00710372">
              <w:rPr>
                <w:noProof/>
                <w:webHidden/>
              </w:rPr>
              <w:t>3</w:t>
            </w:r>
            <w:r w:rsidR="00710372">
              <w:rPr>
                <w:noProof/>
                <w:webHidden/>
              </w:rPr>
              <w:fldChar w:fldCharType="end"/>
            </w:r>
          </w:hyperlink>
        </w:p>
        <w:p w14:paraId="0B7B57F4" w14:textId="523A19A7" w:rsidR="00710372" w:rsidRDefault="00710372">
          <w:pPr>
            <w:pStyle w:val="Obsah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87" w:history="1">
            <w:r w:rsidRPr="00F46DA7">
              <w:rPr>
                <w:rStyle w:val="Hypertextovodkaz"/>
                <w:noProof/>
              </w:rPr>
              <w:t>1.1.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Hospodaření s pitnou vodou (Water Efficiency)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E9CFAF" w14:textId="656D7629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88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1.1.1.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WEp2, WEc2 – Hospodaření s pitnou vodou - v budově - Indoor Water Use Reduction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12E36" w14:textId="12D8308C" w:rsidR="00710372" w:rsidRDefault="00710372">
          <w:pPr>
            <w:pStyle w:val="Obsah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89" w:history="1">
            <w:r w:rsidRPr="00F46DA7">
              <w:rPr>
                <w:rStyle w:val="Hypertextovodkaz"/>
                <w:noProof/>
              </w:rPr>
              <w:t>1.2.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Energie a atmosféra (Energy and Atmosphere)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6ABF5" w14:textId="08F90F97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0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1.2.1.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EAc2 Optimalizace energetické účinnosti budovy – Optimize Energy Performance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F7D6B" w14:textId="6BB5B281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1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1.2.2.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EAc3 - Podružné měření spotřeby energie - Advanced Energy Metering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B3A2E" w14:textId="3F41C77C" w:rsidR="00710372" w:rsidRDefault="00710372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2" w:history="1">
            <w:r w:rsidRPr="00F46DA7">
              <w:rPr>
                <w:rStyle w:val="Hypertextovodkaz"/>
                <w:noProof/>
              </w:rPr>
              <w:t>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Povinnosti pro vybavení nájemních prostor – bez určeného standardu výrobků nebo technologie developerem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3B50D" w14:textId="48B3091C" w:rsidR="00710372" w:rsidRDefault="00710372">
          <w:pPr>
            <w:pStyle w:val="Obsah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3" w:history="1">
            <w:r w:rsidRPr="00F46DA7">
              <w:rPr>
                <w:rStyle w:val="Hypertextovodkaz"/>
                <w:noProof/>
              </w:rPr>
              <w:t>2.1.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Energie a atmosféra (Energy and Atmosphere)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5925C" w14:textId="456C342E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4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2.1.1.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EAc2 Optimalizace energetické účinnosti budovy – Optimize Energy Performance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C96B5" w14:textId="558FEE17" w:rsidR="00710372" w:rsidRDefault="00710372">
          <w:pPr>
            <w:pStyle w:val="Obsah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5" w:history="1">
            <w:r w:rsidRPr="00F46DA7">
              <w:rPr>
                <w:rStyle w:val="Hypertextovodkaz"/>
                <w:noProof/>
              </w:rPr>
              <w:t>2.2.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Kvalita vnitřního prostředí (Indoor Environmental Quality)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0E7BF1" w14:textId="4EB48895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6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2.2.1.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IEQp1, IEQc2 – Kvalita vnitřního vzduchu – Indoor Air Quality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B58C63" w14:textId="224009D1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7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2.2.2.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IEQp2 – Prevence pasivního kouření – Environmental Tobacco Smoke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7A8E0" w14:textId="18251FCD" w:rsidR="00710372" w:rsidRDefault="00710372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8" w:history="1">
            <w:r w:rsidRPr="00F46DA7">
              <w:rPr>
                <w:rStyle w:val="Hypertextovodkaz"/>
                <w:noProof/>
              </w:rPr>
              <w:t>3.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Doplňující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67D68" w14:textId="0E91FCDD" w:rsidR="00710372" w:rsidRDefault="00710372">
          <w:pPr>
            <w:pStyle w:val="Obsah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899" w:history="1">
            <w:r w:rsidRPr="00F46DA7">
              <w:rPr>
                <w:rStyle w:val="Hypertextovodkaz"/>
                <w:noProof/>
              </w:rPr>
              <w:t>3.1.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Udržitelná lokalita (Sustainable Sites)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B5C511" w14:textId="133A03C2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900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3.1.1.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LTc6 - Zázemí pro cyklisty - Bicycle Facilities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55DF30" w14:textId="187B809F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901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3.1.2.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SSc7 – Doporučující manuál pro výstavbu fit-outů - Tenant Design and Construction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00F41" w14:textId="4CB46FD1" w:rsidR="00710372" w:rsidRDefault="00710372">
          <w:pPr>
            <w:pStyle w:val="Obsah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902" w:history="1">
            <w:r w:rsidRPr="00F46DA7">
              <w:rPr>
                <w:rStyle w:val="Hypertextovodkaz"/>
                <w:noProof/>
              </w:rPr>
              <w:t>3.2.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Energie a atmosféra (Energy and Atmosphere)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35E9C8" w14:textId="18CC82F4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903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3.2.1.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EAc5.2 - Measurement and Verification—Tenant Submetering – Měření a verifikace – část nájemních prostor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68E32" w14:textId="136E0668" w:rsidR="00710372" w:rsidRDefault="00710372">
          <w:pPr>
            <w:pStyle w:val="Obsah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904" w:history="1">
            <w:r w:rsidRPr="00F46DA7">
              <w:rPr>
                <w:rStyle w:val="Hypertextovodkaz"/>
                <w:noProof/>
              </w:rPr>
              <w:t>3.3.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Materiály a zdroje (Materials and Resources)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A1917" w14:textId="73F03A02" w:rsidR="00710372" w:rsidRDefault="00710372">
          <w:pPr>
            <w:pStyle w:val="Obsah3"/>
            <w:tabs>
              <w:tab w:val="left" w:pos="1200"/>
              <w:tab w:val="right" w:leader="dot" w:pos="9062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2780905" w:history="1">
            <w:r w:rsidRPr="00F46DA7">
              <w:rPr>
                <w:rStyle w:val="Hypertextovodkaz"/>
                <w:rFonts w:cs="Times New Roman"/>
                <w:noProof/>
                <w:kern w:val="1"/>
              </w:rPr>
              <w:t>3.3.1.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46DA7">
              <w:rPr>
                <w:rStyle w:val="Hypertextovodkaz"/>
                <w:noProof/>
              </w:rPr>
              <w:t>MRp1 - Storage and Collection of Recyclables – Skladování a sběr tříděného odpadu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_Toc192780905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73466B" w14:textId="77777777" w:rsidR="0020795E" w:rsidRDefault="00B91621">
          <w:r w:rsidRPr="0075539D">
            <w:rPr>
              <w:rFonts w:ascii="Arial" w:hAnsi="Arial" w:cs="Arial"/>
              <w:sz w:val="20"/>
            </w:rPr>
            <w:fldChar w:fldCharType="end"/>
          </w:r>
        </w:p>
      </w:sdtContent>
    </w:sdt>
    <w:p w14:paraId="7F614F0F" w14:textId="77777777" w:rsidR="00AE1AC1" w:rsidRDefault="00AE1AC1">
      <w:pPr>
        <w:rPr>
          <w:b/>
          <w:lang w:eastAsia="ar-SA"/>
        </w:rPr>
      </w:pPr>
    </w:p>
    <w:p w14:paraId="532301A3" w14:textId="77777777" w:rsidR="00955EA9" w:rsidRDefault="00955EA9">
      <w:pPr>
        <w:rPr>
          <w:b/>
          <w:lang w:eastAsia="ar-SA"/>
        </w:rPr>
      </w:pPr>
      <w:r>
        <w:rPr>
          <w:b/>
          <w:lang w:eastAsia="ar-SA"/>
        </w:rPr>
        <w:br w:type="page"/>
      </w:r>
    </w:p>
    <w:p w14:paraId="265CEFB2" w14:textId="77777777" w:rsidR="00CE58EF" w:rsidRDefault="00CE58EF" w:rsidP="00CE58EF">
      <w:pPr>
        <w:pStyle w:val="Nadpis1"/>
      </w:pPr>
      <w:bookmarkStart w:id="0" w:name="_Toc104382050"/>
      <w:bookmarkStart w:id="1" w:name="_Toc192780886"/>
      <w:bookmarkStart w:id="2" w:name="_Toc511645543"/>
      <w:r>
        <w:t>Standardy pro výstavbu fit-outů – standardy technologie a výrobků určuje developer</w:t>
      </w:r>
      <w:bookmarkEnd w:id="0"/>
      <w:bookmarkEnd w:id="1"/>
    </w:p>
    <w:p w14:paraId="5E08F6FF" w14:textId="77777777" w:rsidR="00955EA9" w:rsidRPr="00955EA9" w:rsidRDefault="00955EA9" w:rsidP="00955EA9">
      <w:pPr>
        <w:pStyle w:val="Nadpis2"/>
      </w:pPr>
      <w:bookmarkStart w:id="3" w:name="_Toc192780887"/>
      <w:r w:rsidRPr="008733F1">
        <w:t>Hospodaření s pitnou vodou (</w:t>
      </w:r>
      <w:proofErr w:type="spellStart"/>
      <w:r w:rsidRPr="008733F1">
        <w:t>Water</w:t>
      </w:r>
      <w:proofErr w:type="spellEnd"/>
      <w:r w:rsidRPr="008733F1">
        <w:t xml:space="preserve"> </w:t>
      </w:r>
      <w:proofErr w:type="spellStart"/>
      <w:r w:rsidRPr="008733F1">
        <w:t>Efficiency</w:t>
      </w:r>
      <w:proofErr w:type="spellEnd"/>
      <w:r w:rsidRPr="008733F1">
        <w:t>)</w:t>
      </w:r>
      <w:bookmarkEnd w:id="2"/>
      <w:bookmarkEnd w:id="3"/>
    </w:p>
    <w:p w14:paraId="18F8834F" w14:textId="0CC9C86E" w:rsidR="00955EA9" w:rsidRDefault="00B4649D" w:rsidP="00B4649D">
      <w:pPr>
        <w:pStyle w:val="Nadpis3"/>
      </w:pPr>
      <w:bookmarkStart w:id="4" w:name="_Toc511645544"/>
      <w:bookmarkStart w:id="5" w:name="_Toc192780888"/>
      <w:r>
        <w:t>WEp2</w:t>
      </w:r>
      <w:r w:rsidR="00955EA9" w:rsidRPr="008733F1">
        <w:t xml:space="preserve">, </w:t>
      </w:r>
      <w:r w:rsidR="00955EA9">
        <w:t>WEc2</w:t>
      </w:r>
      <w:r w:rsidR="00955EA9" w:rsidRPr="008733F1">
        <w:t xml:space="preserve"> – </w:t>
      </w:r>
      <w:bookmarkEnd w:id="4"/>
      <w:r w:rsidRPr="00B4649D">
        <w:t xml:space="preserve">Hospodaření s pitnou </w:t>
      </w:r>
      <w:proofErr w:type="gramStart"/>
      <w:r w:rsidRPr="00B4649D">
        <w:t>vodou - v</w:t>
      </w:r>
      <w:proofErr w:type="gramEnd"/>
      <w:r>
        <w:t> </w:t>
      </w:r>
      <w:r w:rsidRPr="00B4649D">
        <w:t>budově</w:t>
      </w:r>
      <w:r>
        <w:t xml:space="preserve"> - </w:t>
      </w:r>
      <w:proofErr w:type="spellStart"/>
      <w:r w:rsidRPr="00B4649D">
        <w:t>Indoor</w:t>
      </w:r>
      <w:proofErr w:type="spellEnd"/>
      <w:r w:rsidRPr="00B4649D">
        <w:t xml:space="preserve"> </w:t>
      </w:r>
      <w:proofErr w:type="spellStart"/>
      <w:r w:rsidRPr="00B4649D">
        <w:t>Water</w:t>
      </w:r>
      <w:proofErr w:type="spellEnd"/>
      <w:r w:rsidRPr="00B4649D">
        <w:t xml:space="preserve"> Use </w:t>
      </w:r>
      <w:proofErr w:type="spellStart"/>
      <w:r w:rsidRPr="00B4649D">
        <w:t>Reduction</w:t>
      </w:r>
      <w:bookmarkEnd w:id="5"/>
      <w:proofErr w:type="spellEnd"/>
    </w:p>
    <w:p w14:paraId="10D23782" w14:textId="152CB9C5" w:rsidR="00060574" w:rsidRPr="00060574" w:rsidRDefault="001527EE" w:rsidP="00060574">
      <w:pPr>
        <w:pStyle w:val="Bezmezer"/>
      </w:pPr>
      <w:r w:rsidRPr="00060574">
        <w:rPr>
          <w:rFonts w:eastAsia="Calibri"/>
        </w:rPr>
        <w:t xml:space="preserve">Cíl: </w:t>
      </w:r>
      <w:r w:rsidR="00B4649D">
        <w:t>Snížení spotřeby pitné vody</w:t>
      </w:r>
    </w:p>
    <w:p w14:paraId="6BA8267A" w14:textId="77777777" w:rsidR="001527EE" w:rsidRPr="0075539D" w:rsidRDefault="001527EE" w:rsidP="00955EA9">
      <w:pPr>
        <w:contextualSpacing/>
        <w:rPr>
          <w:rFonts w:ascii="Arial" w:eastAsia="Calibri" w:hAnsi="Arial" w:cs="Arial"/>
          <w:b/>
        </w:rPr>
      </w:pPr>
    </w:p>
    <w:p w14:paraId="1F1F65FB" w14:textId="77777777" w:rsidR="00955EA9" w:rsidRPr="0075539D" w:rsidRDefault="00955EA9" w:rsidP="00955EA9">
      <w:pPr>
        <w:pStyle w:val="Odstavecseseznamem"/>
        <w:numPr>
          <w:ilvl w:val="0"/>
          <w:numId w:val="1"/>
        </w:numPr>
        <w:contextualSpacing/>
      </w:pPr>
      <w:r w:rsidRPr="0075539D">
        <w:t>WC</w:t>
      </w:r>
      <w:r w:rsidR="00092576">
        <w:t xml:space="preserve"> standardní</w:t>
      </w:r>
    </w:p>
    <w:p w14:paraId="12981345" w14:textId="77777777" w:rsidR="00955EA9" w:rsidRPr="0075539D" w:rsidRDefault="00092576" w:rsidP="00955EA9">
      <w:pPr>
        <w:pStyle w:val="Odstavecseseznamem"/>
        <w:numPr>
          <w:ilvl w:val="1"/>
          <w:numId w:val="1"/>
        </w:numPr>
        <w:contextualSpacing/>
      </w:pPr>
      <w:r>
        <w:t>max. 4,0 l velké splachování / max. 2,5</w:t>
      </w:r>
      <w:r w:rsidR="00955EA9" w:rsidRPr="0075539D">
        <w:t xml:space="preserve"> l malé splachování </w:t>
      </w:r>
    </w:p>
    <w:p w14:paraId="6F2803AC" w14:textId="77777777" w:rsidR="00955EA9" w:rsidRDefault="00955EA9" w:rsidP="00955EA9">
      <w:pPr>
        <w:pStyle w:val="Odstavecseseznamem"/>
        <w:numPr>
          <w:ilvl w:val="1"/>
          <w:numId w:val="1"/>
        </w:numPr>
        <w:contextualSpacing/>
      </w:pPr>
      <w:r w:rsidRPr="0075539D">
        <w:t>záchodové mísy musí být určeny pro cílené snížené splachování</w:t>
      </w:r>
    </w:p>
    <w:p w14:paraId="6D21D3DE" w14:textId="77777777" w:rsidR="00092576" w:rsidRDefault="00092576" w:rsidP="00092576">
      <w:pPr>
        <w:pStyle w:val="Odstavecseseznamem"/>
        <w:numPr>
          <w:ilvl w:val="0"/>
          <w:numId w:val="1"/>
        </w:numPr>
        <w:contextualSpacing/>
      </w:pPr>
      <w:r>
        <w:t>WC pro hendikepované</w:t>
      </w:r>
    </w:p>
    <w:p w14:paraId="45C9EB8D" w14:textId="1342EB2C" w:rsidR="00092576" w:rsidRPr="0075539D" w:rsidRDefault="00092576" w:rsidP="00092576">
      <w:pPr>
        <w:pStyle w:val="Odstavecseseznamem"/>
        <w:numPr>
          <w:ilvl w:val="1"/>
          <w:numId w:val="1"/>
        </w:numPr>
        <w:contextualSpacing/>
      </w:pPr>
      <w:r>
        <w:t>max. 4,5 l velké splachování / max. 2</w:t>
      </w:r>
      <w:r w:rsidR="00976732">
        <w:t>,5</w:t>
      </w:r>
      <w:r w:rsidRPr="0075539D">
        <w:t xml:space="preserve"> l malé splachování </w:t>
      </w:r>
    </w:p>
    <w:p w14:paraId="6E5E5C75" w14:textId="77777777" w:rsidR="00092576" w:rsidRDefault="00092576" w:rsidP="00092576">
      <w:pPr>
        <w:pStyle w:val="Odstavecseseznamem"/>
        <w:numPr>
          <w:ilvl w:val="1"/>
          <w:numId w:val="1"/>
        </w:numPr>
        <w:contextualSpacing/>
      </w:pPr>
      <w:r w:rsidRPr="0075539D">
        <w:t>záchodové mísy musí být určeny pro cílené snížené splachování</w:t>
      </w:r>
    </w:p>
    <w:p w14:paraId="425F3350" w14:textId="6FD9AC00" w:rsidR="00976732" w:rsidRDefault="00955EA9" w:rsidP="00AD5DAB">
      <w:pPr>
        <w:pStyle w:val="Odstavecseseznamem"/>
        <w:numPr>
          <w:ilvl w:val="0"/>
          <w:numId w:val="1"/>
        </w:numPr>
        <w:contextualSpacing/>
      </w:pPr>
      <w:r w:rsidRPr="0075539D">
        <w:t>Pisoár</w:t>
      </w:r>
    </w:p>
    <w:p w14:paraId="71245016" w14:textId="14B3503B" w:rsidR="00955EA9" w:rsidRDefault="00976732" w:rsidP="00955EA9">
      <w:pPr>
        <w:pStyle w:val="Odstavecseseznamem"/>
        <w:numPr>
          <w:ilvl w:val="1"/>
          <w:numId w:val="1"/>
        </w:numPr>
        <w:contextualSpacing/>
      </w:pPr>
      <w:r>
        <w:t xml:space="preserve">nastaveno na </w:t>
      </w:r>
      <w:r w:rsidR="00B4649D">
        <w:t>max. 1</w:t>
      </w:r>
      <w:r w:rsidR="00955EA9" w:rsidRPr="0075539D">
        <w:t xml:space="preserve"> l na spláchnutí + po určitém časovém úseku </w:t>
      </w:r>
      <w:r w:rsidR="00B4649D">
        <w:t xml:space="preserve">případně </w:t>
      </w:r>
      <w:r w:rsidR="00955EA9" w:rsidRPr="0075539D">
        <w:t>pravidelný proplach větším množství vody</w:t>
      </w:r>
    </w:p>
    <w:p w14:paraId="3E199D9B" w14:textId="38D0AF13" w:rsidR="00B4649D" w:rsidRPr="0075539D" w:rsidRDefault="00B4649D" w:rsidP="00955EA9">
      <w:pPr>
        <w:pStyle w:val="Odstavecseseznamem"/>
        <w:numPr>
          <w:ilvl w:val="1"/>
          <w:numId w:val="1"/>
        </w:numPr>
        <w:contextualSpacing/>
      </w:pPr>
      <w:proofErr w:type="spellStart"/>
      <w:r>
        <w:t>urinálové</w:t>
      </w:r>
      <w:proofErr w:type="spellEnd"/>
      <w:r>
        <w:t xml:space="preserve"> mísy </w:t>
      </w:r>
      <w:r w:rsidRPr="0075539D">
        <w:t>musí být určeny pro cílené snížené splachování</w:t>
      </w:r>
    </w:p>
    <w:p w14:paraId="19214425" w14:textId="77777777" w:rsidR="00955EA9" w:rsidRPr="0075539D" w:rsidRDefault="00955EA9" w:rsidP="00955EA9">
      <w:pPr>
        <w:pStyle w:val="Odstavecseseznamem"/>
        <w:numPr>
          <w:ilvl w:val="0"/>
          <w:numId w:val="1"/>
        </w:numPr>
        <w:contextualSpacing/>
      </w:pPr>
      <w:r w:rsidRPr="0075539D">
        <w:t>Umyvadlové armatury včetně armatur pro hendikepované</w:t>
      </w:r>
    </w:p>
    <w:p w14:paraId="2C400580" w14:textId="77777777" w:rsidR="00955EA9" w:rsidRPr="0075539D" w:rsidRDefault="00955EA9" w:rsidP="00955EA9">
      <w:pPr>
        <w:pStyle w:val="Odstavecseseznamem"/>
        <w:numPr>
          <w:ilvl w:val="1"/>
          <w:numId w:val="1"/>
        </w:numPr>
        <w:contextualSpacing/>
      </w:pPr>
      <w:r w:rsidRPr="0075539D">
        <w:t xml:space="preserve">pákové armatury max. </w:t>
      </w:r>
      <w:r w:rsidR="0021537A">
        <w:t>1,7</w:t>
      </w:r>
      <w:r w:rsidRPr="0075539D">
        <w:t xml:space="preserve"> l/min. osazené dodatečným nebo výrobním </w:t>
      </w:r>
      <w:proofErr w:type="spellStart"/>
      <w:r w:rsidRPr="0075539D">
        <w:t>perlátorem</w:t>
      </w:r>
      <w:proofErr w:type="spellEnd"/>
    </w:p>
    <w:p w14:paraId="2F1FD2F9" w14:textId="77777777" w:rsidR="00955EA9" w:rsidRDefault="00955EA9" w:rsidP="00955EA9">
      <w:pPr>
        <w:pStyle w:val="Odstavecseseznamem"/>
        <w:numPr>
          <w:ilvl w:val="1"/>
          <w:numId w:val="1"/>
        </w:numPr>
        <w:contextualSpacing/>
      </w:pPr>
      <w:r w:rsidRPr="0075539D">
        <w:t xml:space="preserve">automatické senzorické armatury max. </w:t>
      </w:r>
      <w:r w:rsidR="0021537A">
        <w:t>1,7</w:t>
      </w:r>
      <w:r w:rsidRPr="0075539D">
        <w:t xml:space="preserve"> l/min. osazené dodatečným nebo výrobním </w:t>
      </w:r>
      <w:proofErr w:type="spellStart"/>
      <w:r w:rsidRPr="0075539D">
        <w:t>perlátorem</w:t>
      </w:r>
      <w:proofErr w:type="spellEnd"/>
    </w:p>
    <w:p w14:paraId="0944AA04" w14:textId="34FB062E" w:rsidR="00976732" w:rsidRDefault="00976732" w:rsidP="00AD5DAB">
      <w:pPr>
        <w:pStyle w:val="Odstavecseseznamem"/>
        <w:numPr>
          <w:ilvl w:val="0"/>
          <w:numId w:val="1"/>
        </w:numPr>
        <w:contextualSpacing/>
      </w:pPr>
      <w:r>
        <w:t>Sprchová hlavice</w:t>
      </w:r>
    </w:p>
    <w:p w14:paraId="2A3B0351" w14:textId="1B91B77F" w:rsidR="00976732" w:rsidRPr="0075539D" w:rsidRDefault="0048450B" w:rsidP="00976732">
      <w:pPr>
        <w:pStyle w:val="Odstavecseseznamem"/>
        <w:numPr>
          <w:ilvl w:val="1"/>
          <w:numId w:val="1"/>
        </w:numPr>
        <w:contextualSpacing/>
      </w:pPr>
      <w:r>
        <w:t>s</w:t>
      </w:r>
      <w:r w:rsidR="004A63BF">
        <w:t> max. průtokem 6</w:t>
      </w:r>
      <w:r w:rsidR="00976732">
        <w:t xml:space="preserve"> l/min.</w:t>
      </w:r>
    </w:p>
    <w:p w14:paraId="72ED5B44" w14:textId="77777777" w:rsidR="00955EA9" w:rsidRPr="00955EA9" w:rsidRDefault="00955EA9" w:rsidP="00955EA9">
      <w:pPr>
        <w:pStyle w:val="Nadpis2"/>
      </w:pPr>
      <w:bookmarkStart w:id="6" w:name="_Toc511645545"/>
      <w:bookmarkStart w:id="7" w:name="_Toc192780889"/>
      <w:r w:rsidRPr="002A45A9">
        <w:t>Energie a atmosféra (</w:t>
      </w:r>
      <w:proofErr w:type="spellStart"/>
      <w:r w:rsidRPr="002A45A9">
        <w:t>Energy</w:t>
      </w:r>
      <w:proofErr w:type="spellEnd"/>
      <w:r w:rsidRPr="002A45A9">
        <w:t xml:space="preserve"> and </w:t>
      </w:r>
      <w:proofErr w:type="spellStart"/>
      <w:r w:rsidRPr="002A45A9">
        <w:t>Atmosphere</w:t>
      </w:r>
      <w:proofErr w:type="spellEnd"/>
      <w:r w:rsidRPr="002A45A9">
        <w:t>)</w:t>
      </w:r>
      <w:bookmarkEnd w:id="6"/>
      <w:bookmarkEnd w:id="7"/>
    </w:p>
    <w:p w14:paraId="167C9346" w14:textId="77777777" w:rsidR="00B4649D" w:rsidRDefault="00B4649D" w:rsidP="00B4649D">
      <w:pPr>
        <w:pStyle w:val="Nadpis3"/>
      </w:pPr>
      <w:bookmarkStart w:id="8" w:name="_Toc511645546"/>
      <w:bookmarkStart w:id="9" w:name="_Toc104382052"/>
      <w:bookmarkStart w:id="10" w:name="_Toc192780890"/>
      <w:r>
        <w:t xml:space="preserve">EAc2 </w:t>
      </w:r>
      <w:r w:rsidRPr="00127667">
        <w:t>Optimalizace energetické účinnosti budovy</w:t>
      </w:r>
      <w:r w:rsidRPr="002A45A9">
        <w:t xml:space="preserve"> – </w:t>
      </w:r>
      <w:proofErr w:type="spellStart"/>
      <w:r w:rsidRPr="00127667">
        <w:t>Optimize</w:t>
      </w:r>
      <w:proofErr w:type="spellEnd"/>
      <w:r w:rsidRPr="00127667">
        <w:t xml:space="preserve"> </w:t>
      </w:r>
      <w:proofErr w:type="spellStart"/>
      <w:r w:rsidRPr="00127667">
        <w:t>Energy</w:t>
      </w:r>
      <w:proofErr w:type="spellEnd"/>
      <w:r w:rsidRPr="00127667">
        <w:t xml:space="preserve"> Performance</w:t>
      </w:r>
      <w:bookmarkEnd w:id="8"/>
      <w:bookmarkEnd w:id="9"/>
      <w:bookmarkEnd w:id="10"/>
    </w:p>
    <w:p w14:paraId="41F6D110" w14:textId="77777777" w:rsidR="00060574" w:rsidRDefault="00060574" w:rsidP="00060574">
      <w:pPr>
        <w:pStyle w:val="Bezmezer"/>
      </w:pPr>
      <w:r>
        <w:t xml:space="preserve">Cíl: </w:t>
      </w:r>
      <w:r w:rsidRPr="00607968">
        <w:t>Zlepšení energetické náročnosti za předpokladu snížení environmentálních a ekonomických dopadů spojených s nadměrným využíváním energie.</w:t>
      </w:r>
    </w:p>
    <w:p w14:paraId="34BF3D5D" w14:textId="77777777" w:rsidR="00060574" w:rsidRDefault="00060574" w:rsidP="00060574">
      <w:pPr>
        <w:pStyle w:val="Bezmezer"/>
      </w:pPr>
    </w:p>
    <w:p w14:paraId="06D5249E" w14:textId="5D593175" w:rsidR="004D53B2" w:rsidRDefault="005B3772" w:rsidP="00CE58EF">
      <w:pPr>
        <w:pStyle w:val="Odstavecseseznamem"/>
        <w:numPr>
          <w:ilvl w:val="0"/>
          <w:numId w:val="1"/>
        </w:numPr>
        <w:contextualSpacing/>
      </w:pPr>
      <w:r w:rsidRPr="0075539D">
        <w:t>Chlazení</w:t>
      </w:r>
      <w:r w:rsidR="00CE58EF">
        <w:t xml:space="preserve">: </w:t>
      </w:r>
      <w:r w:rsidR="00955EA9" w:rsidRPr="0075539D">
        <w:t>Jedno</w:t>
      </w:r>
      <w:r w:rsidR="004D53B2" w:rsidRPr="0075539D">
        <w:t>t</w:t>
      </w:r>
      <w:r w:rsidR="00B4649D">
        <w:t xml:space="preserve">ky </w:t>
      </w:r>
      <w:r w:rsidR="00B35C5E">
        <w:t xml:space="preserve">indukčních </w:t>
      </w:r>
      <w:r w:rsidR="00B4649D">
        <w:t xml:space="preserve">chladících trámů se </w:t>
      </w:r>
      <w:r w:rsidR="00B4649D" w:rsidRPr="003E14F0">
        <w:t xml:space="preserve">spádem </w:t>
      </w:r>
      <w:r w:rsidR="00B55581" w:rsidRPr="00A642EE">
        <w:t xml:space="preserve">cca </w:t>
      </w:r>
      <w:r w:rsidR="00B4649D" w:rsidRPr="00A642EE">
        <w:t>17/2</w:t>
      </w:r>
      <w:r w:rsidR="003E14F0" w:rsidRPr="00A642EE">
        <w:t>0</w:t>
      </w:r>
      <w:r w:rsidRPr="00A642EE">
        <w:t>°C</w:t>
      </w:r>
      <w:r w:rsidR="00CE58EF" w:rsidRPr="00A642EE">
        <w:t>.</w:t>
      </w:r>
    </w:p>
    <w:p w14:paraId="39EA7014" w14:textId="2D9315BC" w:rsidR="00955EA9" w:rsidRPr="0075539D" w:rsidRDefault="005B3772" w:rsidP="00372215">
      <w:pPr>
        <w:pStyle w:val="Odstavecseseznamem"/>
        <w:numPr>
          <w:ilvl w:val="0"/>
          <w:numId w:val="1"/>
        </w:numPr>
        <w:contextualSpacing/>
      </w:pPr>
      <w:r w:rsidRPr="0075539D">
        <w:t xml:space="preserve">Vytápění: </w:t>
      </w:r>
      <w:r w:rsidR="00D2304F">
        <w:t>K</w:t>
      </w:r>
      <w:r w:rsidR="00B35C5E">
        <w:t>ombinované jednotky indukčních trámů s chlaze</w:t>
      </w:r>
      <w:r w:rsidR="00B35C5E" w:rsidRPr="003E14F0">
        <w:t xml:space="preserve">ním </w:t>
      </w:r>
      <w:r w:rsidR="00B35C5E" w:rsidRPr="00A642EE">
        <w:t xml:space="preserve">cca </w:t>
      </w:r>
      <w:r w:rsidR="003E14F0" w:rsidRPr="00A642EE">
        <w:t>50</w:t>
      </w:r>
      <w:r w:rsidR="00B35C5E" w:rsidRPr="00A642EE">
        <w:t>/</w:t>
      </w:r>
      <w:r w:rsidR="003E14F0" w:rsidRPr="00A642EE">
        <w:t>40</w:t>
      </w:r>
      <w:r w:rsidR="00B35C5E" w:rsidRPr="00A642EE">
        <w:t xml:space="preserve"> °C</w:t>
      </w:r>
      <w:r w:rsidR="00B35C5E" w:rsidRPr="003E14F0">
        <w:t xml:space="preserve"> (řízeno </w:t>
      </w:r>
      <w:proofErr w:type="spellStart"/>
      <w:r w:rsidR="00B35C5E" w:rsidRPr="003E14F0">
        <w:t>ekvitermně</w:t>
      </w:r>
      <w:proofErr w:type="spellEnd"/>
      <w:r w:rsidR="00B35C5E" w:rsidRPr="003E14F0">
        <w:t>)</w:t>
      </w:r>
    </w:p>
    <w:p w14:paraId="64373D3C" w14:textId="77777777" w:rsidR="00ED3EA7" w:rsidRDefault="00ED3EA7" w:rsidP="00ED3EA7">
      <w:pPr>
        <w:pStyle w:val="Odstavecseseznamem"/>
        <w:numPr>
          <w:ilvl w:val="0"/>
          <w:numId w:val="1"/>
        </w:numPr>
        <w:contextualSpacing/>
      </w:pPr>
      <w:r>
        <w:t>Řízení chlazení a vytápění:</w:t>
      </w:r>
    </w:p>
    <w:p w14:paraId="2CA804E5" w14:textId="7820E952" w:rsidR="00ED3EA7" w:rsidRDefault="00CE58EF" w:rsidP="00ED3EA7">
      <w:pPr>
        <w:pStyle w:val="Odstavecseseznamem"/>
        <w:numPr>
          <w:ilvl w:val="1"/>
          <w:numId w:val="1"/>
        </w:numPr>
        <w:contextualSpacing/>
      </w:pPr>
      <w:r w:rsidRPr="00CE58EF">
        <w:t xml:space="preserve">Komunikativní ovládací jednotky integrované </w:t>
      </w:r>
      <w:r w:rsidR="004C0257">
        <w:t>do centrální</w:t>
      </w:r>
      <w:r w:rsidRPr="00CE58EF">
        <w:t xml:space="preserve"> </w:t>
      </w:r>
      <w:proofErr w:type="spellStart"/>
      <w:r w:rsidRPr="00CE58EF">
        <w:t>MaR</w:t>
      </w:r>
      <w:proofErr w:type="spellEnd"/>
      <w:r>
        <w:t>.</w:t>
      </w:r>
      <w:r w:rsidR="008C6A6E">
        <w:t xml:space="preserve"> Řídí </w:t>
      </w:r>
      <w:proofErr w:type="spellStart"/>
      <w:r w:rsidR="008C6A6E">
        <w:t>termoelektro</w:t>
      </w:r>
      <w:proofErr w:type="spellEnd"/>
      <w:r w:rsidR="008C6A6E">
        <w:t xml:space="preserve"> hlavice </w:t>
      </w:r>
      <w:r w:rsidR="008C6A6E" w:rsidRPr="008C6A6E">
        <w:t>indukčních jednotek.</w:t>
      </w:r>
    </w:p>
    <w:p w14:paraId="4073E769" w14:textId="77777777" w:rsidR="00D2689E" w:rsidRDefault="00D2689E" w:rsidP="00D2689E">
      <w:pPr>
        <w:pStyle w:val="Odstavecseseznamem"/>
        <w:numPr>
          <w:ilvl w:val="0"/>
          <w:numId w:val="1"/>
        </w:numPr>
        <w:contextualSpacing/>
      </w:pPr>
      <w:r>
        <w:t>Vzduchotechnika:</w:t>
      </w:r>
    </w:p>
    <w:p w14:paraId="39818AE0" w14:textId="77777777" w:rsidR="00D2689E" w:rsidRDefault="00D2689E" w:rsidP="00D2689E">
      <w:pPr>
        <w:pStyle w:val="Odstavecseseznamem"/>
        <w:numPr>
          <w:ilvl w:val="1"/>
          <w:numId w:val="1"/>
        </w:numPr>
        <w:contextualSpacing/>
      </w:pPr>
      <w:r>
        <w:t xml:space="preserve">Na patě nájemního celku jsou regulátory variabilního průtoku vybavené zpětnou komunikací průtočného množství do centrální </w:t>
      </w:r>
      <w:proofErr w:type="spellStart"/>
      <w:r>
        <w:t>MaR</w:t>
      </w:r>
      <w:proofErr w:type="spellEnd"/>
    </w:p>
    <w:p w14:paraId="39B98426" w14:textId="77777777" w:rsidR="00D2689E" w:rsidRDefault="00D2689E" w:rsidP="00D2689E">
      <w:pPr>
        <w:pStyle w:val="Odstavecseseznamem"/>
        <w:numPr>
          <w:ilvl w:val="1"/>
          <w:numId w:val="1"/>
        </w:numPr>
        <w:contextualSpacing/>
      </w:pPr>
      <w:r w:rsidRPr="0026185E">
        <w:t xml:space="preserve">Distribuce vzduchu do kancelářských ploch pracovišť a zasedaček se předpokládá přes </w:t>
      </w:r>
      <w:r>
        <w:t>indukční jednotky</w:t>
      </w:r>
      <w:r w:rsidRPr="0026185E">
        <w:t>.</w:t>
      </w:r>
      <w:r>
        <w:t xml:space="preserve"> Odvodní vzduch z uzavřených místností typu zasedacích místností a individuálních kanceláří bude transferován do společných prostor, kde bude odveden.</w:t>
      </w:r>
    </w:p>
    <w:p w14:paraId="1D0F784E" w14:textId="77777777" w:rsidR="00D2689E" w:rsidRDefault="00D2689E" w:rsidP="00D2689E">
      <w:pPr>
        <w:pStyle w:val="Odstavecseseznamem"/>
        <w:numPr>
          <w:ilvl w:val="1"/>
          <w:numId w:val="1"/>
        </w:numPr>
        <w:contextualSpacing/>
      </w:pPr>
      <w:r>
        <w:t xml:space="preserve">Regulátor variabilního průtoku vybaven i zpětnou komunikací průtočného množství do centrální </w:t>
      </w:r>
      <w:proofErr w:type="spellStart"/>
      <w:r>
        <w:t>MaR</w:t>
      </w:r>
      <w:proofErr w:type="spellEnd"/>
      <w:r>
        <w:t xml:space="preserve"> bude dále osazen pro každou </w:t>
      </w:r>
      <w:r w:rsidRPr="00474C0A">
        <w:t xml:space="preserve">zasedací, školící nebo denní místnost s obsazeností </w:t>
      </w:r>
      <w:r>
        <w:t xml:space="preserve">více jak 6 osob. </w:t>
      </w:r>
      <w:r w:rsidRPr="0075539D">
        <w:t xml:space="preserve">Regulační vazba je taková, že pokud se obsadí </w:t>
      </w:r>
      <w:r>
        <w:t>prostor</w:t>
      </w:r>
      <w:r w:rsidRPr="0075539D">
        <w:t xml:space="preserve"> podle čidla obsazenosti, otevře se regulátor variabilního průtoku vzduchu na minimální m</w:t>
      </w:r>
      <w:r>
        <w:t>nožství, pokud vzroste teplota nebo</w:t>
      </w:r>
      <w:r w:rsidRPr="0075539D">
        <w:t xml:space="preserve"> CO</w:t>
      </w:r>
      <w:r w:rsidRPr="00ED3EA7">
        <w:rPr>
          <w:vertAlign w:val="subscript"/>
        </w:rPr>
        <w:t>2</w:t>
      </w:r>
      <w:r>
        <w:t xml:space="preserve"> </w:t>
      </w:r>
      <w:proofErr w:type="spellStart"/>
      <w:r>
        <w:t>ppm</w:t>
      </w:r>
      <w:proofErr w:type="spellEnd"/>
      <w:r>
        <w:t xml:space="preserve">, </w:t>
      </w:r>
      <w:r w:rsidRPr="0075539D">
        <w:t>dojde k postupnému otevření regulátoru průtoku až do maximální hodnoty.</w:t>
      </w:r>
      <w:r>
        <w:t xml:space="preserve"> Teplota t a CO</w:t>
      </w:r>
      <w:r w:rsidRPr="00ED3EA7">
        <w:rPr>
          <w:vertAlign w:val="subscript"/>
        </w:rPr>
        <w:t>2</w:t>
      </w:r>
      <w:r>
        <w:t xml:space="preserve"> </w:t>
      </w:r>
      <w:proofErr w:type="spellStart"/>
      <w:r>
        <w:t>ppm</w:t>
      </w:r>
      <w:proofErr w:type="spellEnd"/>
      <w:r>
        <w:t xml:space="preserve"> bude snímána komunikativními senzory do centrální </w:t>
      </w:r>
      <w:proofErr w:type="spellStart"/>
      <w:r>
        <w:t>MaR</w:t>
      </w:r>
      <w:proofErr w:type="spellEnd"/>
      <w:r>
        <w:t>. Senzory budou umístěné v pobytové zóně osob.</w:t>
      </w:r>
    </w:p>
    <w:p w14:paraId="7586FB49" w14:textId="77777777" w:rsidR="00D2689E" w:rsidRDefault="00D2689E" w:rsidP="00D2689E">
      <w:pPr>
        <w:pStyle w:val="Odstavecseseznamem"/>
        <w:numPr>
          <w:ilvl w:val="1"/>
          <w:numId w:val="1"/>
        </w:numPr>
        <w:contextualSpacing/>
      </w:pPr>
      <w:r>
        <w:t>S ohledem na CO</w:t>
      </w:r>
      <w:r w:rsidRPr="00ED3EA7">
        <w:rPr>
          <w:vertAlign w:val="subscript"/>
        </w:rPr>
        <w:t>2</w:t>
      </w:r>
      <w:r>
        <w:t xml:space="preserve"> se též bude v logice dle t nebo CO2 </w:t>
      </w:r>
      <w:proofErr w:type="spellStart"/>
      <w:r>
        <w:t>ppm</w:t>
      </w:r>
      <w:proofErr w:type="spellEnd"/>
      <w:r>
        <w:t xml:space="preserve"> regulovat obvodová zóna vždy minimálně v celcích s kancelářemi open </w:t>
      </w:r>
      <w:proofErr w:type="spellStart"/>
      <w:r>
        <w:t>space</w:t>
      </w:r>
      <w:proofErr w:type="spellEnd"/>
      <w:r>
        <w:t xml:space="preserve"> pro více jak 10 osob.</w:t>
      </w:r>
    </w:p>
    <w:p w14:paraId="087A7E62" w14:textId="4969DE04" w:rsidR="000663AB" w:rsidRDefault="000663AB" w:rsidP="00D2689E">
      <w:pPr>
        <w:pStyle w:val="Odstavecseseznamem"/>
        <w:numPr>
          <w:ilvl w:val="1"/>
          <w:numId w:val="1"/>
        </w:numPr>
        <w:contextualSpacing/>
      </w:pPr>
      <w:r>
        <w:t xml:space="preserve">Senzory CO2 </w:t>
      </w:r>
      <w:proofErr w:type="spellStart"/>
      <w:proofErr w:type="gramStart"/>
      <w:r>
        <w:t>ppm</w:t>
      </w:r>
      <w:proofErr w:type="spellEnd"/>
      <w:r>
        <w:t xml:space="preserve">  a</w:t>
      </w:r>
      <w:proofErr w:type="gramEnd"/>
      <w:r>
        <w:t xml:space="preserve"> t jsou komunikativní do centrální </w:t>
      </w:r>
      <w:proofErr w:type="spellStart"/>
      <w:r>
        <w:t>MaR</w:t>
      </w:r>
      <w:proofErr w:type="spellEnd"/>
      <w:r>
        <w:t xml:space="preserve"> budovy. Alespoň senzor CO2 </w:t>
      </w:r>
      <w:proofErr w:type="spellStart"/>
      <w:r>
        <w:t>ppm</w:t>
      </w:r>
      <w:proofErr w:type="spellEnd"/>
      <w:r>
        <w:t xml:space="preserve"> je k umístění do pobytové zóny osob ve výšce </w:t>
      </w:r>
      <w:r w:rsidRPr="00440E51">
        <w:rPr>
          <w:lang w:val="en-US"/>
        </w:rPr>
        <w:t>0,9-1,8m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podlahou</w:t>
      </w:r>
      <w:proofErr w:type="spellEnd"/>
      <w:r>
        <w:rPr>
          <w:lang w:val="en-US"/>
        </w:rPr>
        <w:t>.</w:t>
      </w:r>
    </w:p>
    <w:p w14:paraId="5D4BFE35" w14:textId="3CEA20D9" w:rsidR="001A6EA4" w:rsidRPr="001A6EA4" w:rsidRDefault="001A6EA4" w:rsidP="001A6EA4">
      <w:pPr>
        <w:pStyle w:val="Odstavecseseznamem"/>
        <w:numPr>
          <w:ilvl w:val="0"/>
          <w:numId w:val="1"/>
        </w:numPr>
        <w:contextualSpacing/>
      </w:pPr>
      <w:r>
        <w:t xml:space="preserve">Příprava teplé vody v rámci sociálního zázemí: </w:t>
      </w:r>
      <w:r w:rsidRPr="001A6EA4">
        <w:t>elektrický zásobníkový ohřev s au</w:t>
      </w:r>
      <w:r>
        <w:t xml:space="preserve">tonomní ruční regulací teploty a </w:t>
      </w:r>
      <w:r w:rsidRPr="001A6EA4">
        <w:t>ruční</w:t>
      </w:r>
      <w:r>
        <w:t>m</w:t>
      </w:r>
      <w:r w:rsidRPr="001A6EA4">
        <w:t xml:space="preserve"> směšovací</w:t>
      </w:r>
      <w:r>
        <w:t>m</w:t>
      </w:r>
      <w:r w:rsidRPr="001A6EA4">
        <w:t xml:space="preserve"> ventil</w:t>
      </w:r>
      <w:r>
        <w:t>em</w:t>
      </w:r>
      <w:r w:rsidRPr="001A6EA4">
        <w:t xml:space="preserve"> na výtoku ze zásobníku</w:t>
      </w:r>
      <w:r>
        <w:t xml:space="preserve"> nebo průtočný ohřev.</w:t>
      </w:r>
    </w:p>
    <w:p w14:paraId="70A6287F" w14:textId="77777777" w:rsidR="00ED3EA7" w:rsidRDefault="00ED3EA7" w:rsidP="005B3772">
      <w:pPr>
        <w:pStyle w:val="Odstavecseseznamem"/>
        <w:numPr>
          <w:ilvl w:val="0"/>
          <w:numId w:val="1"/>
        </w:numPr>
        <w:contextualSpacing/>
      </w:pPr>
      <w:r>
        <w:t>Umělé osvětlení:</w:t>
      </w:r>
    </w:p>
    <w:p w14:paraId="4371EC1B" w14:textId="38209D10" w:rsidR="00ED3EA7" w:rsidRDefault="00ED3EA7" w:rsidP="00ED3EA7">
      <w:pPr>
        <w:pStyle w:val="Odstavecseseznamem"/>
        <w:numPr>
          <w:ilvl w:val="1"/>
          <w:numId w:val="1"/>
        </w:numPr>
        <w:contextualSpacing/>
      </w:pPr>
      <w:r>
        <w:t xml:space="preserve">Max. 8 W/m2 </w:t>
      </w:r>
      <w:r w:rsidRPr="0075539D">
        <w:t>instalovaný příkon</w:t>
      </w:r>
      <w:r>
        <w:t xml:space="preserve"> v</w:t>
      </w:r>
      <w:r w:rsidR="00DD40B3">
        <w:t>šech svítidel na nájemní celek.</w:t>
      </w:r>
    </w:p>
    <w:p w14:paraId="2CF9D1C9" w14:textId="7B90E035" w:rsidR="00ED3EA7" w:rsidRDefault="00ED3EA7" w:rsidP="00ED3EA7">
      <w:pPr>
        <w:pStyle w:val="Odstavecseseznamem"/>
        <w:numPr>
          <w:ilvl w:val="1"/>
          <w:numId w:val="1"/>
        </w:numPr>
        <w:contextualSpacing/>
      </w:pPr>
      <w:r>
        <w:t xml:space="preserve">Max. 12 W/m2 </w:t>
      </w:r>
      <w:r w:rsidRPr="0075539D">
        <w:t>instalovaný příkon</w:t>
      </w:r>
      <w:r>
        <w:t xml:space="preserve"> všech zasedacích a školících místností</w:t>
      </w:r>
      <w:r w:rsidR="002F149F">
        <w:t>.</w:t>
      </w:r>
    </w:p>
    <w:p w14:paraId="249C7713" w14:textId="4A5B5709" w:rsidR="005B3772" w:rsidRPr="0075539D" w:rsidRDefault="00ED3EA7" w:rsidP="00ED3EA7">
      <w:pPr>
        <w:pStyle w:val="Odstavecseseznamem"/>
        <w:numPr>
          <w:ilvl w:val="1"/>
          <w:numId w:val="1"/>
        </w:numPr>
        <w:contextualSpacing/>
      </w:pPr>
      <w:r>
        <w:t xml:space="preserve">Max. 8 </w:t>
      </w:r>
      <w:r w:rsidR="001E1138" w:rsidRPr="0075539D">
        <w:t xml:space="preserve">W/m2 instalovaný příkon svítidel </w:t>
      </w:r>
      <w:r>
        <w:t xml:space="preserve">vztažený na plochu </w:t>
      </w:r>
      <w:r w:rsidR="001E1138" w:rsidRPr="0075539D">
        <w:t xml:space="preserve">sociálního zázemí. </w:t>
      </w:r>
      <w:r>
        <w:t>Spínání dle senzorů přítomnosti.</w:t>
      </w:r>
    </w:p>
    <w:p w14:paraId="02152FAF" w14:textId="77777777" w:rsidR="00951DFC" w:rsidRDefault="00951DFC" w:rsidP="00951DFC">
      <w:pPr>
        <w:pStyle w:val="Nadpis3"/>
      </w:pPr>
      <w:bookmarkStart w:id="11" w:name="_Toc104382053"/>
      <w:bookmarkStart w:id="12" w:name="_Toc192780891"/>
      <w:proofErr w:type="gramStart"/>
      <w:r>
        <w:t xml:space="preserve">EAc3 - </w:t>
      </w:r>
      <w:r w:rsidRPr="00F538D4">
        <w:t>Podružné</w:t>
      </w:r>
      <w:proofErr w:type="gramEnd"/>
      <w:r w:rsidRPr="00F538D4">
        <w:t xml:space="preserve"> měření spotřeby energie</w:t>
      </w:r>
      <w:r>
        <w:t xml:space="preserve"> - </w:t>
      </w:r>
      <w:proofErr w:type="spellStart"/>
      <w:r w:rsidRPr="00F538D4">
        <w:t>Advanced</w:t>
      </w:r>
      <w:proofErr w:type="spellEnd"/>
      <w:r w:rsidRPr="00F538D4">
        <w:t xml:space="preserve"> </w:t>
      </w:r>
      <w:proofErr w:type="spellStart"/>
      <w:r w:rsidRPr="00F538D4">
        <w:t>Energy</w:t>
      </w:r>
      <w:proofErr w:type="spellEnd"/>
      <w:r w:rsidRPr="00F538D4">
        <w:t xml:space="preserve"> </w:t>
      </w:r>
      <w:proofErr w:type="spellStart"/>
      <w:r w:rsidRPr="00F538D4">
        <w:t>Metering</w:t>
      </w:r>
      <w:bookmarkEnd w:id="11"/>
      <w:bookmarkEnd w:id="12"/>
      <w:proofErr w:type="spellEnd"/>
      <w:r>
        <w:t xml:space="preserve"> </w:t>
      </w:r>
    </w:p>
    <w:p w14:paraId="01D2F471" w14:textId="77777777" w:rsidR="00951DFC" w:rsidRPr="00607968" w:rsidRDefault="00951DFC" w:rsidP="00951DFC">
      <w:pPr>
        <w:pStyle w:val="Bezmezer"/>
      </w:pPr>
      <w:r>
        <w:t xml:space="preserve">Cíl: </w:t>
      </w:r>
      <w:r w:rsidRPr="00607968">
        <w:t>Zajištění trvalého monitoringu a vyhodnocování spotřeby energií v budově.</w:t>
      </w:r>
    </w:p>
    <w:p w14:paraId="14F83872" w14:textId="77777777" w:rsidR="00951DFC" w:rsidRPr="00472C73" w:rsidRDefault="00951DFC" w:rsidP="00951DFC">
      <w:pPr>
        <w:pStyle w:val="Bezmezer"/>
      </w:pPr>
    </w:p>
    <w:p w14:paraId="3F7DF4EC" w14:textId="77777777" w:rsidR="004C0257" w:rsidRDefault="00951DFC" w:rsidP="004C0257">
      <w:pPr>
        <w:pStyle w:val="Odstavecseseznamem"/>
        <w:numPr>
          <w:ilvl w:val="0"/>
          <w:numId w:val="1"/>
        </w:numPr>
        <w:contextualSpacing/>
      </w:pPr>
      <w:r>
        <w:t>Na hraně nájemního celku budou osazená fakturační měřidla silnoproudu, kalorimetrické měřidlo tepelné energie a vodoměr.</w:t>
      </w:r>
      <w:r w:rsidR="004C0257">
        <w:t xml:space="preserve"> Měřidla budou mít výstup M-Bus pro automatický sběr dat.</w:t>
      </w:r>
    </w:p>
    <w:p w14:paraId="78758AD8" w14:textId="43EBDD3E" w:rsidR="001A7208" w:rsidRDefault="001A7208">
      <w:pPr>
        <w:rPr>
          <w:rFonts w:ascii="Tahoma" w:hAnsi="Tahoma" w:cs="Tahoma"/>
          <w:sz w:val="18"/>
          <w:szCs w:val="18"/>
        </w:rPr>
      </w:pPr>
    </w:p>
    <w:p w14:paraId="10381C7D" w14:textId="2EFDAD3D" w:rsidR="00CE58EF" w:rsidRDefault="00CE58EF" w:rsidP="00CE58EF">
      <w:pPr>
        <w:pStyle w:val="Nadpis1"/>
      </w:pPr>
      <w:bookmarkStart w:id="13" w:name="_Toc104382054"/>
      <w:bookmarkStart w:id="14" w:name="_Toc192780892"/>
      <w:bookmarkStart w:id="15" w:name="_Toc511645551"/>
      <w:r>
        <w:t>Povinnosti pro vybavení nájemních prostor – bez určeného standardu výrobků nebo technologie developerem</w:t>
      </w:r>
      <w:bookmarkEnd w:id="13"/>
      <w:bookmarkEnd w:id="14"/>
    </w:p>
    <w:p w14:paraId="1B7F69C6" w14:textId="77777777" w:rsidR="00CE58EF" w:rsidRPr="00955EA9" w:rsidRDefault="00CE58EF" w:rsidP="00CE58EF">
      <w:pPr>
        <w:pStyle w:val="Nadpis2"/>
      </w:pPr>
      <w:bookmarkStart w:id="16" w:name="_Toc192780893"/>
      <w:bookmarkEnd w:id="15"/>
      <w:r w:rsidRPr="002A45A9">
        <w:t>Energie a atmosféra (</w:t>
      </w:r>
      <w:proofErr w:type="spellStart"/>
      <w:r w:rsidRPr="002A45A9">
        <w:t>Energy</w:t>
      </w:r>
      <w:proofErr w:type="spellEnd"/>
      <w:r w:rsidRPr="002A45A9">
        <w:t xml:space="preserve"> and </w:t>
      </w:r>
      <w:proofErr w:type="spellStart"/>
      <w:r w:rsidRPr="002A45A9">
        <w:t>Atmosphere</w:t>
      </w:r>
      <w:proofErr w:type="spellEnd"/>
      <w:r w:rsidRPr="002A45A9">
        <w:t>)</w:t>
      </w:r>
      <w:bookmarkEnd w:id="16"/>
    </w:p>
    <w:p w14:paraId="0209986A" w14:textId="77777777" w:rsidR="00CE58EF" w:rsidRDefault="00CE58EF" w:rsidP="00CE58EF">
      <w:pPr>
        <w:pStyle w:val="Nadpis3"/>
      </w:pPr>
      <w:bookmarkStart w:id="17" w:name="_Toc192780894"/>
      <w:r>
        <w:t xml:space="preserve">EAc2 </w:t>
      </w:r>
      <w:r w:rsidRPr="00127667">
        <w:t>Optimalizace energetické účinnosti budovy</w:t>
      </w:r>
      <w:r w:rsidRPr="002A45A9">
        <w:t xml:space="preserve"> – </w:t>
      </w:r>
      <w:proofErr w:type="spellStart"/>
      <w:r w:rsidRPr="00127667">
        <w:t>Optimize</w:t>
      </w:r>
      <w:proofErr w:type="spellEnd"/>
      <w:r w:rsidRPr="00127667">
        <w:t xml:space="preserve"> </w:t>
      </w:r>
      <w:proofErr w:type="spellStart"/>
      <w:r w:rsidRPr="00127667">
        <w:t>Energy</w:t>
      </w:r>
      <w:proofErr w:type="spellEnd"/>
      <w:r w:rsidRPr="00127667">
        <w:t xml:space="preserve"> Performance</w:t>
      </w:r>
      <w:bookmarkEnd w:id="17"/>
    </w:p>
    <w:p w14:paraId="0CCFC2B1" w14:textId="77777777" w:rsidR="00CE58EF" w:rsidRDefault="00CE58EF" w:rsidP="00CE58EF">
      <w:pPr>
        <w:pStyle w:val="Bezmezer"/>
      </w:pPr>
      <w:r>
        <w:t xml:space="preserve">Cíl: </w:t>
      </w:r>
      <w:r w:rsidRPr="00607968">
        <w:t>Zlepšení energetické náročnosti za předpokladu snížení environmentálních a ekonomických dopadů spojených s nadměrným využíváním energie.</w:t>
      </w:r>
    </w:p>
    <w:p w14:paraId="196CB221" w14:textId="77777777" w:rsidR="00CE58EF" w:rsidRDefault="00CE58EF" w:rsidP="00CE58EF">
      <w:pPr>
        <w:pStyle w:val="Bezmezer"/>
      </w:pPr>
    </w:p>
    <w:p w14:paraId="57005925" w14:textId="79FA6DCF" w:rsidR="00CE58EF" w:rsidRDefault="00CE58EF" w:rsidP="00CE58EF">
      <w:pPr>
        <w:pStyle w:val="Odstavecseseznamem"/>
        <w:numPr>
          <w:ilvl w:val="0"/>
          <w:numId w:val="1"/>
        </w:numPr>
        <w:contextualSpacing/>
      </w:pPr>
      <w:r w:rsidRPr="00CE58EF">
        <w:t>Serverovny split/</w:t>
      </w:r>
      <w:proofErr w:type="spellStart"/>
      <w:r w:rsidRPr="00CE58EF">
        <w:t>multisplit</w:t>
      </w:r>
      <w:proofErr w:type="spellEnd"/>
      <w:r w:rsidRPr="00CE58EF">
        <w:t xml:space="preserve"> na střechu pouze příprava na umístění, příprava pro každý nájemní celek</w:t>
      </w:r>
      <w:r>
        <w:t>.</w:t>
      </w:r>
    </w:p>
    <w:p w14:paraId="1329542A" w14:textId="77777777" w:rsidR="00ED3EA7" w:rsidRPr="00372215" w:rsidRDefault="00ED3EA7" w:rsidP="00ED3EA7">
      <w:pPr>
        <w:pStyle w:val="Nadpis2"/>
      </w:pPr>
      <w:bookmarkStart w:id="18" w:name="_Toc390872376"/>
      <w:bookmarkStart w:id="19" w:name="_Toc511645547"/>
      <w:bookmarkStart w:id="20" w:name="_Toc192780895"/>
      <w:r w:rsidRPr="00FF1032">
        <w:t>Kvalita vnitřního prostředí (</w:t>
      </w:r>
      <w:proofErr w:type="spellStart"/>
      <w:r w:rsidRPr="00FF1032">
        <w:t>Indoor</w:t>
      </w:r>
      <w:proofErr w:type="spellEnd"/>
      <w:r w:rsidRPr="00FF1032">
        <w:t xml:space="preserve"> </w:t>
      </w:r>
      <w:proofErr w:type="spellStart"/>
      <w:r w:rsidRPr="00FF1032">
        <w:t>Environmental</w:t>
      </w:r>
      <w:proofErr w:type="spellEnd"/>
      <w:r w:rsidRPr="00FF1032">
        <w:t xml:space="preserve"> </w:t>
      </w:r>
      <w:proofErr w:type="spellStart"/>
      <w:r w:rsidRPr="00FF1032">
        <w:t>Quality</w:t>
      </w:r>
      <w:proofErr w:type="spellEnd"/>
      <w:r w:rsidRPr="00FF1032">
        <w:t>)</w:t>
      </w:r>
      <w:bookmarkEnd w:id="18"/>
      <w:bookmarkEnd w:id="19"/>
      <w:bookmarkEnd w:id="20"/>
    </w:p>
    <w:p w14:paraId="338E959E" w14:textId="77777777" w:rsidR="00ED3EA7" w:rsidRDefault="00ED3EA7" w:rsidP="00ED3EA7">
      <w:pPr>
        <w:pStyle w:val="Nadpis3"/>
      </w:pPr>
      <w:bookmarkStart w:id="21" w:name="_Toc390872377"/>
      <w:bookmarkStart w:id="22" w:name="_Toc511645548"/>
      <w:bookmarkStart w:id="23" w:name="_Toc192780896"/>
      <w:r w:rsidRPr="00FF1032">
        <w:t xml:space="preserve">IEQp1, IEQc2 – Kvalita vnitřního vzduchu – </w:t>
      </w:r>
      <w:proofErr w:type="spellStart"/>
      <w:r w:rsidRPr="00FF1032">
        <w:t>Indoor</w:t>
      </w:r>
      <w:proofErr w:type="spellEnd"/>
      <w:r w:rsidRPr="00FF1032">
        <w:t xml:space="preserve"> Air </w:t>
      </w:r>
      <w:proofErr w:type="spellStart"/>
      <w:r w:rsidRPr="00FF1032">
        <w:t>Quality</w:t>
      </w:r>
      <w:bookmarkEnd w:id="21"/>
      <w:bookmarkEnd w:id="22"/>
      <w:bookmarkEnd w:id="23"/>
      <w:proofErr w:type="spellEnd"/>
    </w:p>
    <w:p w14:paraId="000E9762" w14:textId="77777777" w:rsidR="00ED3EA7" w:rsidRPr="00607968" w:rsidRDefault="00ED3EA7" w:rsidP="00ED3EA7">
      <w:pPr>
        <w:pStyle w:val="Bezmezer"/>
      </w:pPr>
      <w:r>
        <w:t xml:space="preserve">Cíl: </w:t>
      </w:r>
      <w:r w:rsidRPr="00607968">
        <w:t>Zajistit minimum vnitřního komfortu pro uživatele budovy, které musí být splněno pro jakoukoliv certifikovanou budovu.</w:t>
      </w:r>
    </w:p>
    <w:p w14:paraId="4AD23AEE" w14:textId="77777777" w:rsidR="00ED3EA7" w:rsidRPr="00472C73" w:rsidRDefault="00ED3EA7" w:rsidP="00785BCE">
      <w:pPr>
        <w:spacing w:after="0"/>
        <w:rPr>
          <w:lang w:eastAsia="ar-SA"/>
        </w:rPr>
      </w:pPr>
    </w:p>
    <w:p w14:paraId="49DF1295" w14:textId="77777777" w:rsidR="00785BCE" w:rsidRPr="00372215" w:rsidRDefault="00785BCE" w:rsidP="00785BCE">
      <w:pPr>
        <w:pStyle w:val="Odstavecseseznamem"/>
        <w:numPr>
          <w:ilvl w:val="0"/>
          <w:numId w:val="1"/>
        </w:numPr>
        <w:contextualSpacing/>
      </w:pPr>
      <w:r w:rsidRPr="00372215">
        <w:t xml:space="preserve">Dodržení minimálních návrhových množství přívodního čerstvého vzduchu v souladu s EN 15251:2007 </w:t>
      </w:r>
      <w:proofErr w:type="spellStart"/>
      <w:r w:rsidRPr="00372215">
        <w:t>Annex</w:t>
      </w:r>
      <w:proofErr w:type="spellEnd"/>
      <w:r w:rsidRPr="00372215">
        <w:t xml:space="preserve"> B 1.2 součtově jako kategorie II (</w:t>
      </w:r>
      <w:proofErr w:type="spellStart"/>
      <w:r w:rsidRPr="00372215">
        <w:t>qp</w:t>
      </w:r>
      <w:proofErr w:type="spellEnd"/>
      <w:r w:rsidRPr="00372215">
        <w:t xml:space="preserve"> přívodní množství na osobu) + relevantní předpokládaný stupeň emisí škodlivin (</w:t>
      </w:r>
      <w:proofErr w:type="spellStart"/>
      <w:r w:rsidRPr="00372215">
        <w:t>qb</w:t>
      </w:r>
      <w:proofErr w:type="spellEnd"/>
      <w:r w:rsidRPr="00372215">
        <w:t xml:space="preserve"> přívodní množství dle podlahové plochy) a EN 13779:2007 bez částí 7.3, 7.6, A.16, A.17.  V každé místnosti nájemního celku budou navržena, realizována a dodržována následující výpočtová návrhová množství vzduchu navýšená v souladu s kreditem IEQc</w:t>
      </w:r>
      <w:r>
        <w:t>1</w:t>
      </w:r>
      <w:r w:rsidRPr="00372215">
        <w:t xml:space="preserve"> certifikace o </w:t>
      </w:r>
      <w:r>
        <w:t>15</w:t>
      </w:r>
      <w:r w:rsidRPr="00372215">
        <w:t xml:space="preserve"> % dle typu užívání místnosti:</w:t>
      </w:r>
    </w:p>
    <w:p w14:paraId="6A1ABCCE" w14:textId="77777777" w:rsidR="00ED3EA7" w:rsidRPr="00372215" w:rsidRDefault="00ED3EA7" w:rsidP="00ED3EA7">
      <w:pPr>
        <w:contextualSpacing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2994"/>
        <w:gridCol w:w="2979"/>
      </w:tblGrid>
      <w:tr w:rsidR="00ED3EA7" w:rsidRPr="0075539D" w14:paraId="056D3F13" w14:textId="77777777" w:rsidTr="007B04B0">
        <w:tc>
          <w:tcPr>
            <w:tcW w:w="3140" w:type="dxa"/>
          </w:tcPr>
          <w:p w14:paraId="1ECA1204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b/>
                <w:szCs w:val="18"/>
              </w:rPr>
            </w:pPr>
            <w:r w:rsidRPr="0075539D">
              <w:rPr>
                <w:rFonts w:ascii="Arial" w:hAnsi="Arial" w:cs="Arial"/>
                <w:b/>
                <w:szCs w:val="18"/>
              </w:rPr>
              <w:t>Kancelářské typy nájemních prostor</w:t>
            </w:r>
          </w:p>
        </w:tc>
        <w:tc>
          <w:tcPr>
            <w:tcW w:w="3079" w:type="dxa"/>
            <w:vAlign w:val="center"/>
          </w:tcPr>
          <w:p w14:paraId="5879A264" w14:textId="77777777" w:rsidR="00785BCE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75539D">
              <w:rPr>
                <w:rFonts w:ascii="Arial" w:hAnsi="Arial" w:cs="Arial"/>
                <w:b/>
                <w:szCs w:val="18"/>
              </w:rPr>
              <w:t>Minimální návrhové množ</w:t>
            </w:r>
            <w:r w:rsidR="00785BCE">
              <w:rPr>
                <w:rFonts w:ascii="Arial" w:hAnsi="Arial" w:cs="Arial"/>
                <w:b/>
                <w:szCs w:val="18"/>
              </w:rPr>
              <w:t>ství čerstvého vzduchu na osobu</w:t>
            </w:r>
          </w:p>
          <w:p w14:paraId="4921DB80" w14:textId="4D57CDC3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75539D">
              <w:rPr>
                <w:rFonts w:ascii="Arial" w:hAnsi="Arial" w:cs="Arial"/>
                <w:b/>
                <w:szCs w:val="18"/>
              </w:rPr>
              <w:t>(l/s na osobu)</w:t>
            </w:r>
          </w:p>
        </w:tc>
        <w:tc>
          <w:tcPr>
            <w:tcW w:w="3069" w:type="dxa"/>
            <w:vAlign w:val="center"/>
          </w:tcPr>
          <w:p w14:paraId="28B60489" w14:textId="77777777" w:rsidR="00785BCE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75539D">
              <w:rPr>
                <w:rFonts w:ascii="Arial" w:hAnsi="Arial" w:cs="Arial"/>
                <w:b/>
                <w:szCs w:val="18"/>
              </w:rPr>
              <w:t>Minimální návrhové množs</w:t>
            </w:r>
            <w:r w:rsidR="00785BCE">
              <w:rPr>
                <w:rFonts w:ascii="Arial" w:hAnsi="Arial" w:cs="Arial"/>
                <w:b/>
                <w:szCs w:val="18"/>
              </w:rPr>
              <w:t>tví vzduchu dle emisí škodlivin</w:t>
            </w:r>
          </w:p>
          <w:p w14:paraId="32EE923F" w14:textId="69D8BD8E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b/>
                <w:szCs w:val="18"/>
              </w:rPr>
            </w:pPr>
            <w:r w:rsidRPr="0075539D">
              <w:rPr>
                <w:rFonts w:ascii="Arial" w:hAnsi="Arial" w:cs="Arial"/>
                <w:b/>
                <w:szCs w:val="18"/>
              </w:rPr>
              <w:t>(l/s na m2)</w:t>
            </w:r>
          </w:p>
        </w:tc>
      </w:tr>
      <w:tr w:rsidR="00ED3EA7" w:rsidRPr="0075539D" w14:paraId="6803D5AA" w14:textId="77777777" w:rsidTr="007B04B0">
        <w:tc>
          <w:tcPr>
            <w:tcW w:w="3140" w:type="dxa"/>
          </w:tcPr>
          <w:p w14:paraId="4B197A9E" w14:textId="3AECDCDC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Individuální</w:t>
            </w:r>
            <w:r w:rsidR="00785BCE">
              <w:rPr>
                <w:rFonts w:ascii="Arial" w:hAnsi="Arial" w:cs="Arial"/>
                <w:szCs w:val="18"/>
              </w:rPr>
              <w:t>/sdílená</w:t>
            </w:r>
            <w:r w:rsidRPr="0075539D">
              <w:rPr>
                <w:rFonts w:ascii="Arial" w:hAnsi="Arial" w:cs="Arial"/>
                <w:szCs w:val="18"/>
              </w:rPr>
              <w:t xml:space="preserve"> kancelář</w:t>
            </w:r>
          </w:p>
          <w:p w14:paraId="2FA8A8A3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 xml:space="preserve">Open </w:t>
            </w:r>
            <w:proofErr w:type="spellStart"/>
            <w:r w:rsidRPr="0075539D">
              <w:rPr>
                <w:rFonts w:ascii="Arial" w:hAnsi="Arial" w:cs="Arial"/>
                <w:szCs w:val="18"/>
              </w:rPr>
              <w:t>space</w:t>
            </w:r>
            <w:proofErr w:type="spellEnd"/>
            <w:r w:rsidRPr="0075539D">
              <w:rPr>
                <w:rFonts w:ascii="Arial" w:hAnsi="Arial" w:cs="Arial"/>
                <w:szCs w:val="18"/>
              </w:rPr>
              <w:t xml:space="preserve"> kancelář</w:t>
            </w:r>
          </w:p>
          <w:p w14:paraId="745A2EE8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Zasedací místnost</w:t>
            </w:r>
          </w:p>
          <w:p w14:paraId="42C6753D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Odpočinková místnost/koutek</w:t>
            </w:r>
          </w:p>
          <w:p w14:paraId="528C81D8" w14:textId="77777777" w:rsidR="00ED3EA7" w:rsidRPr="0075539D" w:rsidRDefault="00ED3EA7" w:rsidP="007B04B0">
            <w:pPr>
              <w:tabs>
                <w:tab w:val="left" w:pos="-720"/>
                <w:tab w:val="center" w:pos="1628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Lobby</w:t>
            </w:r>
          </w:p>
          <w:p w14:paraId="735E2FC1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Showroom</w:t>
            </w:r>
          </w:p>
        </w:tc>
        <w:tc>
          <w:tcPr>
            <w:tcW w:w="3079" w:type="dxa"/>
            <w:vAlign w:val="center"/>
          </w:tcPr>
          <w:p w14:paraId="7F5AFBB7" w14:textId="39A311AB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7 + </w:t>
            </w:r>
            <w:proofErr w:type="gramStart"/>
            <w:r>
              <w:rPr>
                <w:rFonts w:ascii="Arial" w:hAnsi="Arial" w:cs="Arial"/>
                <w:szCs w:val="18"/>
              </w:rPr>
              <w:t>15</w:t>
            </w:r>
            <w:r w:rsidRPr="0075539D">
              <w:rPr>
                <w:rFonts w:ascii="Arial" w:hAnsi="Arial" w:cs="Arial"/>
                <w:szCs w:val="18"/>
              </w:rPr>
              <w:t>%</w:t>
            </w:r>
            <w:proofErr w:type="gramEnd"/>
          </w:p>
        </w:tc>
        <w:tc>
          <w:tcPr>
            <w:tcW w:w="3069" w:type="dxa"/>
            <w:vAlign w:val="center"/>
          </w:tcPr>
          <w:p w14:paraId="60779E61" w14:textId="4E25F873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0,</w:t>
            </w:r>
            <w:r w:rsidR="00710372">
              <w:rPr>
                <w:rFonts w:ascii="Arial" w:hAnsi="Arial" w:cs="Arial"/>
                <w:szCs w:val="18"/>
              </w:rPr>
              <w:t>7</w:t>
            </w:r>
            <w:r>
              <w:rPr>
                <w:rFonts w:ascii="Arial" w:hAnsi="Arial" w:cs="Arial"/>
                <w:szCs w:val="18"/>
              </w:rPr>
              <w:t xml:space="preserve"> + </w:t>
            </w:r>
            <w:proofErr w:type="gramStart"/>
            <w:r>
              <w:rPr>
                <w:rFonts w:ascii="Arial" w:hAnsi="Arial" w:cs="Arial"/>
                <w:szCs w:val="18"/>
              </w:rPr>
              <w:t>15</w:t>
            </w:r>
            <w:r w:rsidRPr="0075539D">
              <w:rPr>
                <w:rFonts w:ascii="Arial" w:hAnsi="Arial" w:cs="Arial"/>
                <w:szCs w:val="18"/>
              </w:rPr>
              <w:t>%</w:t>
            </w:r>
            <w:proofErr w:type="gramEnd"/>
          </w:p>
        </w:tc>
      </w:tr>
      <w:tr w:rsidR="00ED3EA7" w:rsidRPr="0075539D" w14:paraId="21821EB2" w14:textId="77777777" w:rsidTr="007B04B0">
        <w:tc>
          <w:tcPr>
            <w:tcW w:w="3140" w:type="dxa"/>
          </w:tcPr>
          <w:p w14:paraId="7628C035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Chodba</w:t>
            </w:r>
          </w:p>
          <w:p w14:paraId="1462AF36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Čistý sklad</w:t>
            </w:r>
          </w:p>
        </w:tc>
        <w:tc>
          <w:tcPr>
            <w:tcW w:w="3079" w:type="dxa"/>
            <w:vAlign w:val="center"/>
          </w:tcPr>
          <w:p w14:paraId="28E86B22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Předpoklad bez osob</w:t>
            </w:r>
          </w:p>
        </w:tc>
        <w:tc>
          <w:tcPr>
            <w:tcW w:w="3069" w:type="dxa"/>
            <w:vAlign w:val="center"/>
          </w:tcPr>
          <w:p w14:paraId="7762B9E3" w14:textId="21B92BD2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0,</w:t>
            </w:r>
            <w:r w:rsidR="00710372">
              <w:rPr>
                <w:rFonts w:ascii="Arial" w:hAnsi="Arial" w:cs="Arial"/>
                <w:szCs w:val="18"/>
              </w:rPr>
              <w:t>7</w:t>
            </w:r>
            <w:r>
              <w:rPr>
                <w:rFonts w:ascii="Arial" w:hAnsi="Arial" w:cs="Arial"/>
                <w:szCs w:val="18"/>
              </w:rPr>
              <w:t xml:space="preserve"> + </w:t>
            </w:r>
            <w:proofErr w:type="gramStart"/>
            <w:r>
              <w:rPr>
                <w:rFonts w:ascii="Arial" w:hAnsi="Arial" w:cs="Arial"/>
                <w:szCs w:val="18"/>
              </w:rPr>
              <w:t>15</w:t>
            </w:r>
            <w:r w:rsidRPr="0075539D">
              <w:rPr>
                <w:rFonts w:ascii="Arial" w:hAnsi="Arial" w:cs="Arial"/>
                <w:szCs w:val="18"/>
              </w:rPr>
              <w:t>%</w:t>
            </w:r>
            <w:proofErr w:type="gramEnd"/>
          </w:p>
        </w:tc>
      </w:tr>
      <w:tr w:rsidR="00ED3EA7" w:rsidRPr="0075539D" w14:paraId="2B78D6AC" w14:textId="77777777" w:rsidTr="007B04B0">
        <w:tc>
          <w:tcPr>
            <w:tcW w:w="3140" w:type="dxa"/>
          </w:tcPr>
          <w:p w14:paraId="17E0556E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Kuchyňka</w:t>
            </w:r>
          </w:p>
          <w:p w14:paraId="143A0A5F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Šatna</w:t>
            </w:r>
          </w:p>
          <w:p w14:paraId="11AC94D6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Sklad s produkcí odérů</w:t>
            </w:r>
          </w:p>
          <w:p w14:paraId="24D6A3AB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Tisk a copy</w:t>
            </w:r>
          </w:p>
          <w:p w14:paraId="5951AD5D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Úklidová komora</w:t>
            </w:r>
          </w:p>
        </w:tc>
        <w:tc>
          <w:tcPr>
            <w:tcW w:w="3079" w:type="dxa"/>
            <w:vAlign w:val="center"/>
          </w:tcPr>
          <w:p w14:paraId="2D74A540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Předpoklad bez osob</w:t>
            </w:r>
          </w:p>
        </w:tc>
        <w:tc>
          <w:tcPr>
            <w:tcW w:w="3069" w:type="dxa"/>
            <w:vAlign w:val="center"/>
          </w:tcPr>
          <w:p w14:paraId="6EF44145" w14:textId="52DEEE7A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0,70 + </w:t>
            </w:r>
            <w:proofErr w:type="gramStart"/>
            <w:r>
              <w:rPr>
                <w:rFonts w:ascii="Arial" w:hAnsi="Arial" w:cs="Arial"/>
                <w:szCs w:val="18"/>
              </w:rPr>
              <w:t>15</w:t>
            </w:r>
            <w:r w:rsidRPr="0075539D">
              <w:rPr>
                <w:rFonts w:ascii="Arial" w:hAnsi="Arial" w:cs="Arial"/>
                <w:szCs w:val="18"/>
              </w:rPr>
              <w:t>%</w:t>
            </w:r>
            <w:proofErr w:type="gramEnd"/>
          </w:p>
        </w:tc>
      </w:tr>
      <w:tr w:rsidR="00ED3EA7" w:rsidRPr="0075539D" w14:paraId="314F2F47" w14:textId="77777777" w:rsidTr="007B04B0">
        <w:tc>
          <w:tcPr>
            <w:tcW w:w="3140" w:type="dxa"/>
          </w:tcPr>
          <w:p w14:paraId="55D05FD2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Sklad s vyšší produkcí škodlivin</w:t>
            </w:r>
          </w:p>
        </w:tc>
        <w:tc>
          <w:tcPr>
            <w:tcW w:w="3079" w:type="dxa"/>
            <w:vAlign w:val="center"/>
          </w:tcPr>
          <w:p w14:paraId="35F8E53D" w14:textId="7777777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szCs w:val="18"/>
              </w:rPr>
            </w:pPr>
            <w:r w:rsidRPr="0075539D">
              <w:rPr>
                <w:rFonts w:ascii="Arial" w:hAnsi="Arial" w:cs="Arial"/>
                <w:szCs w:val="18"/>
              </w:rPr>
              <w:t>Předpoklad bez osob</w:t>
            </w:r>
          </w:p>
        </w:tc>
        <w:tc>
          <w:tcPr>
            <w:tcW w:w="3069" w:type="dxa"/>
            <w:vAlign w:val="center"/>
          </w:tcPr>
          <w:p w14:paraId="287F28DB" w14:textId="01E22397" w:rsidR="00ED3EA7" w:rsidRPr="0075539D" w:rsidRDefault="00ED3EA7" w:rsidP="007B04B0">
            <w:pPr>
              <w:tabs>
                <w:tab w:val="left" w:pos="-720"/>
              </w:tabs>
              <w:spacing w:after="0" w:line="288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1,40 + </w:t>
            </w:r>
            <w:proofErr w:type="gramStart"/>
            <w:r>
              <w:rPr>
                <w:rFonts w:ascii="Arial" w:hAnsi="Arial" w:cs="Arial"/>
                <w:szCs w:val="18"/>
              </w:rPr>
              <w:t>15</w:t>
            </w:r>
            <w:r w:rsidRPr="0075539D">
              <w:rPr>
                <w:rFonts w:ascii="Arial" w:hAnsi="Arial" w:cs="Arial"/>
                <w:szCs w:val="18"/>
              </w:rPr>
              <w:t>%</w:t>
            </w:r>
            <w:proofErr w:type="gramEnd"/>
          </w:p>
        </w:tc>
      </w:tr>
    </w:tbl>
    <w:p w14:paraId="45D588D7" w14:textId="77777777" w:rsidR="00ED3EA7" w:rsidRDefault="00ED3EA7" w:rsidP="00ED3EA7">
      <w:pPr>
        <w:spacing w:after="120"/>
        <w:rPr>
          <w:rFonts w:cs="Tahoma"/>
          <w:sz w:val="18"/>
          <w:szCs w:val="18"/>
        </w:rPr>
      </w:pPr>
    </w:p>
    <w:p w14:paraId="2BEF75FA" w14:textId="77777777" w:rsidR="00ED3EA7" w:rsidRPr="00372215" w:rsidRDefault="00ED3EA7" w:rsidP="00ED3EA7">
      <w:pPr>
        <w:pStyle w:val="Nadpis3"/>
      </w:pPr>
      <w:bookmarkStart w:id="24" w:name="_Toc511645549"/>
      <w:bookmarkStart w:id="25" w:name="_Toc192780897"/>
      <w:r w:rsidRPr="00FF1032">
        <w:t xml:space="preserve">IEQp2 – Prevence pasivního kouření – </w:t>
      </w:r>
      <w:proofErr w:type="spellStart"/>
      <w:r w:rsidRPr="00FF1032">
        <w:t>Environmental</w:t>
      </w:r>
      <w:proofErr w:type="spellEnd"/>
      <w:r w:rsidRPr="00FF1032">
        <w:t xml:space="preserve"> </w:t>
      </w:r>
      <w:proofErr w:type="spellStart"/>
      <w:r w:rsidRPr="00FF1032">
        <w:t>Tobacco</w:t>
      </w:r>
      <w:proofErr w:type="spellEnd"/>
      <w:r w:rsidRPr="00FF1032">
        <w:t xml:space="preserve"> </w:t>
      </w:r>
      <w:proofErr w:type="spellStart"/>
      <w:r w:rsidRPr="00FF1032">
        <w:t>Smoke</w:t>
      </w:r>
      <w:proofErr w:type="spellEnd"/>
      <w:r w:rsidRPr="00FF1032">
        <w:t xml:space="preserve"> </w:t>
      </w:r>
      <w:proofErr w:type="spellStart"/>
      <w:r w:rsidRPr="00FF1032">
        <w:t>Control</w:t>
      </w:r>
      <w:bookmarkEnd w:id="24"/>
      <w:bookmarkEnd w:id="25"/>
      <w:proofErr w:type="spellEnd"/>
    </w:p>
    <w:p w14:paraId="1C8DB171" w14:textId="77777777" w:rsidR="00ED3EA7" w:rsidRPr="00607968" w:rsidRDefault="00ED3EA7" w:rsidP="00ED3EA7">
      <w:pPr>
        <w:pStyle w:val="Bezmezer"/>
      </w:pPr>
      <w:r>
        <w:t xml:space="preserve">Cíl: </w:t>
      </w:r>
      <w:r w:rsidRPr="00607968">
        <w:t>Zabránit vlivům pasivnímu kouření v budově.</w:t>
      </w:r>
    </w:p>
    <w:p w14:paraId="02DD09AE" w14:textId="77777777" w:rsidR="00ED3EA7" w:rsidRDefault="00ED3EA7" w:rsidP="00ED3EA7">
      <w:pPr>
        <w:contextualSpacing/>
      </w:pPr>
    </w:p>
    <w:p w14:paraId="74C91294" w14:textId="77777777" w:rsidR="00ED3EA7" w:rsidRDefault="00ED3EA7" w:rsidP="00ED3EA7">
      <w:pPr>
        <w:pStyle w:val="Odstavecseseznamem"/>
        <w:numPr>
          <w:ilvl w:val="0"/>
          <w:numId w:val="1"/>
        </w:numPr>
        <w:contextualSpacing/>
      </w:pPr>
      <w:r w:rsidRPr="00372215">
        <w:t xml:space="preserve">V objektu je zakázáno kouřit. Zároveň je zakázáno kouření ve vzdálenosti do </w:t>
      </w:r>
      <w:proofErr w:type="gramStart"/>
      <w:r w:rsidRPr="00372215">
        <w:t>8m</w:t>
      </w:r>
      <w:proofErr w:type="gramEnd"/>
      <w:r w:rsidRPr="00372215">
        <w:t xml:space="preserve"> od fasády v prostorech s otevíravými okny nebo u nasávání větracích systémů budovy.</w:t>
      </w:r>
    </w:p>
    <w:p w14:paraId="356664CB" w14:textId="0E64966F" w:rsidR="00ED3EA7" w:rsidRDefault="00ED3EA7">
      <w:bookmarkStart w:id="26" w:name="_Toc414029070"/>
      <w:bookmarkStart w:id="27" w:name="_Toc414029386"/>
      <w:bookmarkEnd w:id="26"/>
      <w:bookmarkEnd w:id="27"/>
    </w:p>
    <w:p w14:paraId="34359DC8" w14:textId="77777777" w:rsidR="00955EA9" w:rsidRDefault="00955EA9" w:rsidP="00F22581">
      <w:pPr>
        <w:pStyle w:val="Nadpis1"/>
      </w:pPr>
      <w:bookmarkStart w:id="28" w:name="_Toc192780898"/>
      <w:r>
        <w:t>Doplňující informace</w:t>
      </w:r>
      <w:bookmarkEnd w:id="28"/>
    </w:p>
    <w:p w14:paraId="24442D30" w14:textId="77777777" w:rsidR="00951DFC" w:rsidRDefault="00951DFC" w:rsidP="00951DFC">
      <w:pPr>
        <w:pStyle w:val="Nadpis2"/>
      </w:pPr>
      <w:bookmarkStart w:id="29" w:name="_Toc511645555"/>
      <w:bookmarkStart w:id="30" w:name="_Toc104382061"/>
      <w:bookmarkStart w:id="31" w:name="_Toc192780899"/>
      <w:bookmarkStart w:id="32" w:name="_Toc511645557"/>
      <w:bookmarkStart w:id="33" w:name="_Toc390872372"/>
      <w:r>
        <w:t>Udržitelná lokalita (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Sites</w:t>
      </w:r>
      <w:proofErr w:type="spellEnd"/>
      <w:r>
        <w:t>)</w:t>
      </w:r>
      <w:bookmarkEnd w:id="29"/>
      <w:bookmarkEnd w:id="30"/>
      <w:bookmarkEnd w:id="31"/>
    </w:p>
    <w:p w14:paraId="668650A5" w14:textId="77777777" w:rsidR="00951DFC" w:rsidRDefault="00951DFC" w:rsidP="00951DFC">
      <w:pPr>
        <w:pStyle w:val="Nadpis3"/>
      </w:pPr>
      <w:bookmarkStart w:id="34" w:name="_Toc104382062"/>
      <w:bookmarkStart w:id="35" w:name="_Toc192780900"/>
      <w:bookmarkStart w:id="36" w:name="_Toc511645556"/>
      <w:proofErr w:type="gramStart"/>
      <w:r>
        <w:t>LTc6 - Zázemí</w:t>
      </w:r>
      <w:proofErr w:type="gramEnd"/>
      <w:r>
        <w:t xml:space="preserve"> pro cyklisty - </w:t>
      </w:r>
      <w:proofErr w:type="spellStart"/>
      <w:r>
        <w:t>Bicycle</w:t>
      </w:r>
      <w:proofErr w:type="spellEnd"/>
      <w:r>
        <w:t xml:space="preserve"> </w:t>
      </w:r>
      <w:proofErr w:type="spellStart"/>
      <w:r>
        <w:t>Facilities</w:t>
      </w:r>
      <w:bookmarkEnd w:id="34"/>
      <w:bookmarkEnd w:id="35"/>
      <w:proofErr w:type="spellEnd"/>
    </w:p>
    <w:p w14:paraId="49D0AB59" w14:textId="77777777" w:rsidR="00951DFC" w:rsidRDefault="00951DFC" w:rsidP="00951DFC">
      <w:pPr>
        <w:pStyle w:val="Bezmezer"/>
      </w:pPr>
      <w:r>
        <w:t xml:space="preserve">Cíl: </w:t>
      </w:r>
      <w:r w:rsidRPr="005264F8">
        <w:t>Podpořit výstavbu potřebného zázemí v budově pro jízdu do práce na kole.</w:t>
      </w:r>
    </w:p>
    <w:p w14:paraId="654A5444" w14:textId="77777777" w:rsidR="00951DFC" w:rsidRDefault="00951DFC" w:rsidP="00951DFC">
      <w:pPr>
        <w:spacing w:after="0"/>
      </w:pPr>
    </w:p>
    <w:p w14:paraId="6F8F93DC" w14:textId="77777777" w:rsidR="00951DFC" w:rsidRPr="005264F8" w:rsidRDefault="00951DFC" w:rsidP="00951DFC">
      <w:pPr>
        <w:pStyle w:val="Odstavecseseznamem"/>
        <w:numPr>
          <w:ilvl w:val="0"/>
          <w:numId w:val="1"/>
        </w:numPr>
        <w:contextualSpacing/>
      </w:pPr>
      <w:r>
        <w:t>V rámci budovy je navrženo společné zázemí pro cestu do práce na kole. Zázemí se skládá z bezpečného příjezdu k budově a do kolárny, z místa uskladnění kol a převlékáren se sprchami.</w:t>
      </w:r>
    </w:p>
    <w:p w14:paraId="722852FC" w14:textId="77777777" w:rsidR="00951DFC" w:rsidRDefault="00951DFC" w:rsidP="00951DFC">
      <w:pPr>
        <w:pStyle w:val="Nadpis3"/>
      </w:pPr>
      <w:bookmarkStart w:id="37" w:name="_Toc104382063"/>
      <w:bookmarkStart w:id="38" w:name="_Toc192780901"/>
      <w:r>
        <w:t>SSc7 – Doporučující manuál pro výstavbu fit-</w:t>
      </w:r>
      <w:proofErr w:type="gramStart"/>
      <w:r>
        <w:t xml:space="preserve">outů - </w:t>
      </w:r>
      <w:proofErr w:type="spellStart"/>
      <w:r w:rsidRPr="002A45A9">
        <w:t>Tenant</w:t>
      </w:r>
      <w:proofErr w:type="spellEnd"/>
      <w:proofErr w:type="gramEnd"/>
      <w:r w:rsidRPr="002A45A9">
        <w:t xml:space="preserve"> Design and </w:t>
      </w:r>
      <w:proofErr w:type="spellStart"/>
      <w:r w:rsidRPr="002A45A9">
        <w:t>Construction</w:t>
      </w:r>
      <w:proofErr w:type="spellEnd"/>
      <w:r w:rsidRPr="002A45A9">
        <w:t xml:space="preserve"> </w:t>
      </w:r>
      <w:proofErr w:type="spellStart"/>
      <w:r w:rsidRPr="002A45A9">
        <w:t>Guidelines</w:t>
      </w:r>
      <w:bookmarkEnd w:id="36"/>
      <w:bookmarkEnd w:id="37"/>
      <w:bookmarkEnd w:id="38"/>
      <w:proofErr w:type="spellEnd"/>
    </w:p>
    <w:p w14:paraId="10047553" w14:textId="77777777" w:rsidR="00951DFC" w:rsidRDefault="00951DFC" w:rsidP="00951DFC">
      <w:pPr>
        <w:pStyle w:val="Bezmezer"/>
      </w:pPr>
      <w:r>
        <w:rPr>
          <w:lang w:eastAsia="ar-SA"/>
        </w:rPr>
        <w:t xml:space="preserve">Cíl: </w:t>
      </w:r>
      <w:r w:rsidRPr="00E96971">
        <w:t>Eliminovat lidský faktor, který může neznalostí užívání budovy ničit celý koncept.</w:t>
      </w:r>
    </w:p>
    <w:p w14:paraId="1615BAA9" w14:textId="77777777" w:rsidR="00951DFC" w:rsidRDefault="00951DFC" w:rsidP="00951DFC">
      <w:pPr>
        <w:spacing w:after="0"/>
        <w:rPr>
          <w:lang w:eastAsia="ar-SA"/>
        </w:rPr>
      </w:pPr>
    </w:p>
    <w:p w14:paraId="5AA6A023" w14:textId="77777777" w:rsidR="00951DFC" w:rsidRDefault="00951DFC" w:rsidP="00951DFC">
      <w:pPr>
        <w:pStyle w:val="Odstavecseseznamem"/>
        <w:numPr>
          <w:ilvl w:val="0"/>
          <w:numId w:val="1"/>
        </w:numPr>
        <w:contextualSpacing/>
      </w:pPr>
      <w:r w:rsidRPr="00955EA9">
        <w:t xml:space="preserve">Pro výstavbu fit-outů je k dispozici manuál, který poukazuje na návaznosti certifikace LEED </w:t>
      </w:r>
      <w:proofErr w:type="spellStart"/>
      <w:r w:rsidRPr="00955EA9">
        <w:t>Commercial</w:t>
      </w:r>
      <w:proofErr w:type="spellEnd"/>
      <w:r w:rsidRPr="00955EA9">
        <w:t xml:space="preserve"> </w:t>
      </w:r>
      <w:proofErr w:type="spellStart"/>
      <w:r w:rsidRPr="00955EA9">
        <w:t>Interiors</w:t>
      </w:r>
      <w:proofErr w:type="spellEnd"/>
      <w:r w:rsidRPr="00955EA9">
        <w:t xml:space="preserve"> (nájemní celky) a zacílených kreditů certifikace LEED </w:t>
      </w:r>
      <w:proofErr w:type="spellStart"/>
      <w:r w:rsidRPr="00955EA9">
        <w:t>Core</w:t>
      </w:r>
      <w:proofErr w:type="spellEnd"/>
      <w:r w:rsidRPr="00955EA9">
        <w:t xml:space="preserve"> and Shell (zázemí budovy mimo vlastní nájemní celky).</w:t>
      </w:r>
    </w:p>
    <w:p w14:paraId="1150F08C" w14:textId="77777777" w:rsidR="00372215" w:rsidRPr="00955EA9" w:rsidRDefault="00372215" w:rsidP="00372215">
      <w:pPr>
        <w:pStyle w:val="Nadpis2"/>
      </w:pPr>
      <w:bookmarkStart w:id="39" w:name="_Toc192780902"/>
      <w:r w:rsidRPr="002A45A9">
        <w:t>Energie a atmosféra (</w:t>
      </w:r>
      <w:proofErr w:type="spellStart"/>
      <w:r w:rsidRPr="002A45A9">
        <w:t>Energy</w:t>
      </w:r>
      <w:proofErr w:type="spellEnd"/>
      <w:r w:rsidRPr="002A45A9">
        <w:t xml:space="preserve"> and </w:t>
      </w:r>
      <w:proofErr w:type="spellStart"/>
      <w:r w:rsidRPr="002A45A9">
        <w:t>Atmosphere</w:t>
      </w:r>
      <w:proofErr w:type="spellEnd"/>
      <w:r w:rsidRPr="002A45A9">
        <w:t>)</w:t>
      </w:r>
      <w:bookmarkEnd w:id="32"/>
      <w:bookmarkEnd w:id="39"/>
    </w:p>
    <w:p w14:paraId="6928E467" w14:textId="77777777" w:rsidR="00E50EC2" w:rsidRDefault="00E50EC2" w:rsidP="00372215">
      <w:pPr>
        <w:pStyle w:val="Nadpis3"/>
      </w:pPr>
      <w:bookmarkStart w:id="40" w:name="_Toc511645558"/>
      <w:bookmarkStart w:id="41" w:name="_Toc192780903"/>
      <w:bookmarkEnd w:id="33"/>
      <w:r>
        <w:t xml:space="preserve">EAc5.2 - </w:t>
      </w:r>
      <w:proofErr w:type="spellStart"/>
      <w:r w:rsidRPr="00E50EC2">
        <w:t>Measurement</w:t>
      </w:r>
      <w:proofErr w:type="spellEnd"/>
      <w:r w:rsidRPr="00E50EC2">
        <w:t xml:space="preserve"> and </w:t>
      </w:r>
      <w:proofErr w:type="spellStart"/>
      <w:r w:rsidRPr="00E50EC2">
        <w:t>Verification</w:t>
      </w:r>
      <w:proofErr w:type="spellEnd"/>
      <w:r w:rsidRPr="00E50EC2">
        <w:t>—</w:t>
      </w:r>
      <w:proofErr w:type="spellStart"/>
      <w:r w:rsidRPr="00E50EC2">
        <w:t>Tenant</w:t>
      </w:r>
      <w:proofErr w:type="spellEnd"/>
      <w:r w:rsidRPr="00E50EC2">
        <w:t xml:space="preserve"> </w:t>
      </w:r>
      <w:proofErr w:type="spellStart"/>
      <w:r w:rsidRPr="00E50EC2">
        <w:t>Submetering</w:t>
      </w:r>
      <w:proofErr w:type="spellEnd"/>
      <w:r>
        <w:t xml:space="preserve"> – Měření a verifikace – část nájemních prostor</w:t>
      </w:r>
      <w:bookmarkEnd w:id="40"/>
      <w:bookmarkEnd w:id="41"/>
    </w:p>
    <w:p w14:paraId="60CF3070" w14:textId="77777777" w:rsidR="00472C73" w:rsidRPr="00607968" w:rsidRDefault="00472C73" w:rsidP="00472C73">
      <w:pPr>
        <w:pStyle w:val="Bezmezer"/>
      </w:pPr>
      <w:r>
        <w:t xml:space="preserve">Cíl: </w:t>
      </w:r>
      <w:r w:rsidRPr="00607968">
        <w:t>Zajištění trvalého monitoringu a vyhodnocování spotřeby energií v budově.</w:t>
      </w:r>
    </w:p>
    <w:p w14:paraId="07821D8B" w14:textId="77777777" w:rsidR="00472C73" w:rsidRPr="00472C73" w:rsidRDefault="00472C73" w:rsidP="00472C73">
      <w:pPr>
        <w:pStyle w:val="Bezmezer"/>
      </w:pPr>
    </w:p>
    <w:p w14:paraId="25B423B5" w14:textId="77777777" w:rsidR="00E50EC2" w:rsidRDefault="00165683" w:rsidP="00372215">
      <w:pPr>
        <w:pStyle w:val="Normlntextstudie"/>
      </w:pPr>
      <w:r w:rsidRPr="00372215">
        <w:t xml:space="preserve">Pro výstavbu fit-outů je k dispozici manuál pro </w:t>
      </w:r>
      <w:r w:rsidR="00FF1032" w:rsidRPr="00372215">
        <w:t>zhotovení podružného měření spotřeb energie nájemního celku.</w:t>
      </w:r>
    </w:p>
    <w:p w14:paraId="4A380E3D" w14:textId="77777777" w:rsidR="00951DFC" w:rsidRPr="00372215" w:rsidRDefault="00951DFC" w:rsidP="00951DFC">
      <w:pPr>
        <w:pStyle w:val="Nadpis2"/>
      </w:pPr>
      <w:bookmarkStart w:id="42" w:name="_Toc511645559"/>
      <w:bookmarkStart w:id="43" w:name="_Toc104382064"/>
      <w:bookmarkStart w:id="44" w:name="_Toc192780904"/>
      <w:r w:rsidRPr="00372215">
        <w:t>Materiály a zdroje (</w:t>
      </w:r>
      <w:proofErr w:type="spellStart"/>
      <w:r w:rsidRPr="00372215">
        <w:t>Materials</w:t>
      </w:r>
      <w:proofErr w:type="spellEnd"/>
      <w:r w:rsidRPr="00372215">
        <w:t xml:space="preserve"> and </w:t>
      </w:r>
      <w:proofErr w:type="spellStart"/>
      <w:r w:rsidRPr="00372215">
        <w:t>Resources</w:t>
      </w:r>
      <w:proofErr w:type="spellEnd"/>
      <w:r w:rsidRPr="00372215">
        <w:t>)</w:t>
      </w:r>
      <w:bookmarkEnd w:id="42"/>
      <w:bookmarkEnd w:id="43"/>
      <w:bookmarkEnd w:id="44"/>
    </w:p>
    <w:p w14:paraId="6387230F" w14:textId="77777777" w:rsidR="00951DFC" w:rsidRDefault="00951DFC" w:rsidP="00951DFC">
      <w:pPr>
        <w:pStyle w:val="Nadpis3"/>
      </w:pPr>
      <w:bookmarkStart w:id="45" w:name="_Toc511645560"/>
      <w:bookmarkStart w:id="46" w:name="_Toc104382065"/>
      <w:bookmarkStart w:id="47" w:name="_Toc192780905"/>
      <w:proofErr w:type="gramStart"/>
      <w:r>
        <w:t xml:space="preserve">MRp1 - </w:t>
      </w:r>
      <w:proofErr w:type="spellStart"/>
      <w:r w:rsidRPr="00FF1032">
        <w:t>Storage</w:t>
      </w:r>
      <w:proofErr w:type="spellEnd"/>
      <w:proofErr w:type="gramEnd"/>
      <w:r w:rsidRPr="00FF1032">
        <w:t xml:space="preserve"> and </w:t>
      </w:r>
      <w:proofErr w:type="spellStart"/>
      <w:r w:rsidRPr="00FF1032">
        <w:t>Collection</w:t>
      </w:r>
      <w:proofErr w:type="spellEnd"/>
      <w:r w:rsidRPr="00FF1032">
        <w:t xml:space="preserve"> </w:t>
      </w:r>
      <w:proofErr w:type="spellStart"/>
      <w:r w:rsidRPr="00FF1032">
        <w:t>of</w:t>
      </w:r>
      <w:proofErr w:type="spellEnd"/>
      <w:r w:rsidRPr="00FF1032">
        <w:t xml:space="preserve"> </w:t>
      </w:r>
      <w:proofErr w:type="spellStart"/>
      <w:r w:rsidRPr="00FF1032">
        <w:t>Recyclables</w:t>
      </w:r>
      <w:proofErr w:type="spellEnd"/>
      <w:r>
        <w:t xml:space="preserve"> – Skladování a sběr tříděného odpadu</w:t>
      </w:r>
      <w:bookmarkEnd w:id="45"/>
      <w:bookmarkEnd w:id="46"/>
      <w:bookmarkEnd w:id="47"/>
    </w:p>
    <w:p w14:paraId="5258DBAD" w14:textId="77777777" w:rsidR="00951DFC" w:rsidRPr="00607968" w:rsidRDefault="00951DFC" w:rsidP="00951DFC">
      <w:pPr>
        <w:pStyle w:val="Bezmezer"/>
      </w:pPr>
      <w:r>
        <w:t xml:space="preserve">Cíl: </w:t>
      </w:r>
      <w:r w:rsidRPr="00607968">
        <w:t>Zajistit šetrné nakládání s odpadem a umožnit tak jeho případné další využití.</w:t>
      </w:r>
    </w:p>
    <w:p w14:paraId="35F064E6" w14:textId="77777777" w:rsidR="00951DFC" w:rsidRPr="00472C73" w:rsidRDefault="00951DFC" w:rsidP="00951DFC">
      <w:pPr>
        <w:spacing w:after="0"/>
        <w:rPr>
          <w:lang w:eastAsia="ar-SA"/>
        </w:rPr>
      </w:pPr>
    </w:p>
    <w:p w14:paraId="625B985B" w14:textId="77777777" w:rsidR="00951DFC" w:rsidRDefault="00951DFC" w:rsidP="00951DFC">
      <w:pPr>
        <w:pStyle w:val="Odstavecseseznamem"/>
        <w:numPr>
          <w:ilvl w:val="0"/>
          <w:numId w:val="1"/>
        </w:numPr>
        <w:contextualSpacing/>
      </w:pPr>
      <w:r w:rsidRPr="00372215">
        <w:t>Budova poskytuje centrální odpadovou místnost s dostatečnou kapacitou pro sběr tříděného odpadu. Od nájemníků se očekává sběr tříděného odpadu v členění min.: papír, kartón, sklo, plasty, kovy</w:t>
      </w:r>
      <w:r>
        <w:t xml:space="preserve">, </w:t>
      </w:r>
      <w:r w:rsidRPr="00F538D4">
        <w:t>nebezpečný odpad: elektroodpad vč. baterií</w:t>
      </w:r>
      <w:r w:rsidRPr="00372215">
        <w:t>.</w:t>
      </w:r>
    </w:p>
    <w:sectPr w:rsidR="00951DFC" w:rsidSect="00637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5C02C4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397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1134" w:hanging="708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737"/>
        </w:tabs>
        <w:ind w:left="2835" w:hanging="708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3033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5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0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1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18" w:hanging="708"/>
      </w:pPr>
    </w:lvl>
  </w:abstractNum>
  <w:abstractNum w:abstractNumId="1" w15:restartNumberingAfterBreak="0">
    <w:nsid w:val="1C0A5542"/>
    <w:multiLevelType w:val="hybridMultilevel"/>
    <w:tmpl w:val="F3662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90A6D"/>
    <w:multiLevelType w:val="hybridMultilevel"/>
    <w:tmpl w:val="825ED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A7CE9"/>
    <w:multiLevelType w:val="hybridMultilevel"/>
    <w:tmpl w:val="7B1EC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07DC9"/>
    <w:multiLevelType w:val="hybridMultilevel"/>
    <w:tmpl w:val="A3521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E0A02"/>
    <w:multiLevelType w:val="hybridMultilevel"/>
    <w:tmpl w:val="AC3AB778"/>
    <w:lvl w:ilvl="0" w:tplc="1152F1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456A1"/>
    <w:multiLevelType w:val="hybridMultilevel"/>
    <w:tmpl w:val="2954FFC6"/>
    <w:lvl w:ilvl="0" w:tplc="E408A5FE">
      <w:start w:val="1"/>
      <w:numFmt w:val="bullet"/>
      <w:pStyle w:val="Normlntextstud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6053D"/>
    <w:multiLevelType w:val="hybridMultilevel"/>
    <w:tmpl w:val="563A6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15813"/>
    <w:multiLevelType w:val="hybridMultilevel"/>
    <w:tmpl w:val="35E88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97C23"/>
    <w:multiLevelType w:val="hybridMultilevel"/>
    <w:tmpl w:val="2EBA0A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C4AD6"/>
    <w:multiLevelType w:val="hybridMultilevel"/>
    <w:tmpl w:val="798675B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4403AB6"/>
    <w:multiLevelType w:val="hybridMultilevel"/>
    <w:tmpl w:val="097C5C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FE21FC"/>
    <w:multiLevelType w:val="hybridMultilevel"/>
    <w:tmpl w:val="D2467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C200FE"/>
    <w:multiLevelType w:val="hybridMultilevel"/>
    <w:tmpl w:val="DA86F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922C7C">
      <w:start w:val="1"/>
      <w:numFmt w:val="bullet"/>
      <w:lvlText w:val=""/>
      <w:lvlJc w:val="left"/>
      <w:pPr>
        <w:tabs>
          <w:tab w:val="num" w:pos="1477"/>
        </w:tabs>
        <w:ind w:left="1363" w:hanging="28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843EC8"/>
    <w:multiLevelType w:val="hybridMultilevel"/>
    <w:tmpl w:val="3F9A56E8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CE6778"/>
    <w:multiLevelType w:val="hybridMultilevel"/>
    <w:tmpl w:val="26DAF0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C63C88"/>
    <w:multiLevelType w:val="hybridMultilevel"/>
    <w:tmpl w:val="B65A4B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264777">
    <w:abstractNumId w:val="11"/>
  </w:num>
  <w:num w:numId="2" w16cid:durableId="909774540">
    <w:abstractNumId w:val="7"/>
  </w:num>
  <w:num w:numId="3" w16cid:durableId="1143234110">
    <w:abstractNumId w:val="16"/>
  </w:num>
  <w:num w:numId="4" w16cid:durableId="228198963">
    <w:abstractNumId w:val="0"/>
  </w:num>
  <w:num w:numId="5" w16cid:durableId="1419642820">
    <w:abstractNumId w:val="0"/>
  </w:num>
  <w:num w:numId="6" w16cid:durableId="1546404374">
    <w:abstractNumId w:val="0"/>
  </w:num>
  <w:num w:numId="7" w16cid:durableId="1323191766">
    <w:abstractNumId w:val="1"/>
  </w:num>
  <w:num w:numId="8" w16cid:durableId="1930577161">
    <w:abstractNumId w:val="12"/>
  </w:num>
  <w:num w:numId="9" w16cid:durableId="551235834">
    <w:abstractNumId w:val="6"/>
  </w:num>
  <w:num w:numId="10" w16cid:durableId="2034530774">
    <w:abstractNumId w:val="6"/>
  </w:num>
  <w:num w:numId="11" w16cid:durableId="1676612811">
    <w:abstractNumId w:val="0"/>
  </w:num>
  <w:num w:numId="12" w16cid:durableId="274795861">
    <w:abstractNumId w:val="0"/>
  </w:num>
  <w:num w:numId="13" w16cid:durableId="1827699287">
    <w:abstractNumId w:val="0"/>
  </w:num>
  <w:num w:numId="14" w16cid:durableId="650521142">
    <w:abstractNumId w:val="0"/>
  </w:num>
  <w:num w:numId="15" w16cid:durableId="1165900422">
    <w:abstractNumId w:val="6"/>
  </w:num>
  <w:num w:numId="16" w16cid:durableId="1294211648">
    <w:abstractNumId w:val="0"/>
  </w:num>
  <w:num w:numId="17" w16cid:durableId="941962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8977236">
    <w:abstractNumId w:val="0"/>
  </w:num>
  <w:num w:numId="19" w16cid:durableId="207302023">
    <w:abstractNumId w:val="6"/>
  </w:num>
  <w:num w:numId="20" w16cid:durableId="1742095586">
    <w:abstractNumId w:val="0"/>
  </w:num>
  <w:num w:numId="21" w16cid:durableId="335233164">
    <w:abstractNumId w:val="0"/>
  </w:num>
  <w:num w:numId="22" w16cid:durableId="827673819">
    <w:abstractNumId w:val="0"/>
  </w:num>
  <w:num w:numId="23" w16cid:durableId="1733773069">
    <w:abstractNumId w:val="15"/>
  </w:num>
  <w:num w:numId="24" w16cid:durableId="1777284458">
    <w:abstractNumId w:val="5"/>
  </w:num>
  <w:num w:numId="25" w16cid:durableId="308366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2807374">
    <w:abstractNumId w:val="13"/>
  </w:num>
  <w:num w:numId="27" w16cid:durableId="1543056911">
    <w:abstractNumId w:val="4"/>
  </w:num>
  <w:num w:numId="28" w16cid:durableId="341474126">
    <w:abstractNumId w:val="2"/>
  </w:num>
  <w:num w:numId="29" w16cid:durableId="393313058">
    <w:abstractNumId w:val="9"/>
  </w:num>
  <w:num w:numId="30" w16cid:durableId="1587231967">
    <w:abstractNumId w:val="14"/>
  </w:num>
  <w:num w:numId="31" w16cid:durableId="1933706557">
    <w:abstractNumId w:val="0"/>
  </w:num>
  <w:num w:numId="32" w16cid:durableId="1570455426">
    <w:abstractNumId w:val="0"/>
  </w:num>
  <w:num w:numId="33" w16cid:durableId="1860318817">
    <w:abstractNumId w:val="3"/>
  </w:num>
  <w:num w:numId="34" w16cid:durableId="936134670">
    <w:abstractNumId w:val="8"/>
  </w:num>
  <w:num w:numId="35" w16cid:durableId="7435291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03A"/>
    <w:rsid w:val="000206FE"/>
    <w:rsid w:val="000241AB"/>
    <w:rsid w:val="00060574"/>
    <w:rsid w:val="000663AB"/>
    <w:rsid w:val="00092576"/>
    <w:rsid w:val="000A42D8"/>
    <w:rsid w:val="000F5906"/>
    <w:rsid w:val="001527EE"/>
    <w:rsid w:val="00165683"/>
    <w:rsid w:val="0017571C"/>
    <w:rsid w:val="001946BD"/>
    <w:rsid w:val="00196F27"/>
    <w:rsid w:val="001A6EA4"/>
    <w:rsid w:val="001A7208"/>
    <w:rsid w:val="001C3000"/>
    <w:rsid w:val="001E1138"/>
    <w:rsid w:val="0020795E"/>
    <w:rsid w:val="0021537A"/>
    <w:rsid w:val="00220807"/>
    <w:rsid w:val="0026185E"/>
    <w:rsid w:val="002A45A9"/>
    <w:rsid w:val="002B47A3"/>
    <w:rsid w:val="002F0028"/>
    <w:rsid w:val="002F149F"/>
    <w:rsid w:val="00315166"/>
    <w:rsid w:val="00350DEB"/>
    <w:rsid w:val="00372215"/>
    <w:rsid w:val="0038626D"/>
    <w:rsid w:val="00391BB9"/>
    <w:rsid w:val="003E14F0"/>
    <w:rsid w:val="003E757E"/>
    <w:rsid w:val="003F0CE9"/>
    <w:rsid w:val="00435F9A"/>
    <w:rsid w:val="00442F01"/>
    <w:rsid w:val="004727FE"/>
    <w:rsid w:val="00472C73"/>
    <w:rsid w:val="00474C0A"/>
    <w:rsid w:val="004843BD"/>
    <w:rsid w:val="0048450B"/>
    <w:rsid w:val="004A63BF"/>
    <w:rsid w:val="004C0257"/>
    <w:rsid w:val="004D53B2"/>
    <w:rsid w:val="00504B4C"/>
    <w:rsid w:val="00516398"/>
    <w:rsid w:val="0052496B"/>
    <w:rsid w:val="005868E0"/>
    <w:rsid w:val="005B3772"/>
    <w:rsid w:val="00637A83"/>
    <w:rsid w:val="006E6217"/>
    <w:rsid w:val="00710372"/>
    <w:rsid w:val="00713D8D"/>
    <w:rsid w:val="00736B76"/>
    <w:rsid w:val="0075539D"/>
    <w:rsid w:val="007644E6"/>
    <w:rsid w:val="00765E5C"/>
    <w:rsid w:val="00775DA9"/>
    <w:rsid w:val="00785BCE"/>
    <w:rsid w:val="00785BDA"/>
    <w:rsid w:val="007B3743"/>
    <w:rsid w:val="007E318F"/>
    <w:rsid w:val="007F3A2B"/>
    <w:rsid w:val="007F7294"/>
    <w:rsid w:val="0083095D"/>
    <w:rsid w:val="00871DE2"/>
    <w:rsid w:val="008733F1"/>
    <w:rsid w:val="00886B28"/>
    <w:rsid w:val="008C6A6E"/>
    <w:rsid w:val="008C71DB"/>
    <w:rsid w:val="008D42FE"/>
    <w:rsid w:val="00915DDE"/>
    <w:rsid w:val="00951DFC"/>
    <w:rsid w:val="00954D54"/>
    <w:rsid w:val="00955EA9"/>
    <w:rsid w:val="00956ABF"/>
    <w:rsid w:val="00976732"/>
    <w:rsid w:val="009948CD"/>
    <w:rsid w:val="009B5B05"/>
    <w:rsid w:val="00A00D51"/>
    <w:rsid w:val="00A06C3D"/>
    <w:rsid w:val="00A43A62"/>
    <w:rsid w:val="00A5034D"/>
    <w:rsid w:val="00A642EE"/>
    <w:rsid w:val="00A8596E"/>
    <w:rsid w:val="00AC7F7A"/>
    <w:rsid w:val="00AD5DAB"/>
    <w:rsid w:val="00AE0CA0"/>
    <w:rsid w:val="00AE1AC1"/>
    <w:rsid w:val="00B20B60"/>
    <w:rsid w:val="00B25C2F"/>
    <w:rsid w:val="00B35C5E"/>
    <w:rsid w:val="00B44BF4"/>
    <w:rsid w:val="00B4649D"/>
    <w:rsid w:val="00B5175A"/>
    <w:rsid w:val="00B55581"/>
    <w:rsid w:val="00B90108"/>
    <w:rsid w:val="00B91621"/>
    <w:rsid w:val="00C10723"/>
    <w:rsid w:val="00C20572"/>
    <w:rsid w:val="00C65E16"/>
    <w:rsid w:val="00C87C0A"/>
    <w:rsid w:val="00CB488C"/>
    <w:rsid w:val="00CE58EF"/>
    <w:rsid w:val="00D00F66"/>
    <w:rsid w:val="00D17C83"/>
    <w:rsid w:val="00D2304F"/>
    <w:rsid w:val="00D2689E"/>
    <w:rsid w:val="00D31CCA"/>
    <w:rsid w:val="00D64B18"/>
    <w:rsid w:val="00D7003A"/>
    <w:rsid w:val="00D70C71"/>
    <w:rsid w:val="00DB5CD7"/>
    <w:rsid w:val="00DD1AF2"/>
    <w:rsid w:val="00DD40B3"/>
    <w:rsid w:val="00E13BF2"/>
    <w:rsid w:val="00E14A4B"/>
    <w:rsid w:val="00E2723F"/>
    <w:rsid w:val="00E40A52"/>
    <w:rsid w:val="00E50EC2"/>
    <w:rsid w:val="00EA3C80"/>
    <w:rsid w:val="00ED3EA7"/>
    <w:rsid w:val="00F22581"/>
    <w:rsid w:val="00F5293E"/>
    <w:rsid w:val="00F7169D"/>
    <w:rsid w:val="00F929EA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D7C8"/>
  <w15:docId w15:val="{D0CB3721-2156-4AEA-9A5B-5F315C53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aaa,název"/>
    <w:basedOn w:val="Normln"/>
    <w:next w:val="Normln"/>
    <w:link w:val="Nadpis1Char"/>
    <w:uiPriority w:val="9"/>
    <w:qFormat/>
    <w:rsid w:val="00955EA9"/>
    <w:pPr>
      <w:keepNext/>
      <w:numPr>
        <w:numId w:val="4"/>
      </w:numPr>
      <w:spacing w:before="120" w:after="120" w:line="300" w:lineRule="auto"/>
      <w:outlineLvl w:val="0"/>
    </w:pPr>
    <w:rPr>
      <w:rFonts w:ascii="Arial" w:eastAsia="Times New Roman" w:hAnsi="Arial" w:cs="Arial"/>
      <w:b/>
      <w:smallCaps/>
      <w:kern w:val="1"/>
      <w:sz w:val="32"/>
      <w:szCs w:val="20"/>
      <w:lang w:eastAsia="ar-SA"/>
    </w:rPr>
  </w:style>
  <w:style w:type="paragraph" w:styleId="Nadpis2">
    <w:name w:val="heading 2"/>
    <w:aliases w:val="Nadpis 21"/>
    <w:basedOn w:val="Normln"/>
    <w:next w:val="Normln"/>
    <w:link w:val="Nadpis2Char"/>
    <w:qFormat/>
    <w:rsid w:val="00955EA9"/>
    <w:pPr>
      <w:keepNext/>
      <w:numPr>
        <w:ilvl w:val="1"/>
        <w:numId w:val="4"/>
      </w:numPr>
      <w:spacing w:before="120" w:after="120" w:line="240" w:lineRule="auto"/>
      <w:outlineLvl w:val="1"/>
    </w:pPr>
    <w:rPr>
      <w:rFonts w:ascii="Arial" w:eastAsia="Times New Roman" w:hAnsi="Arial" w:cs="Arial"/>
      <w:b/>
      <w:smallCaps/>
      <w:sz w:val="28"/>
      <w:szCs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955EA9"/>
    <w:pPr>
      <w:keepNext/>
      <w:numPr>
        <w:ilvl w:val="2"/>
        <w:numId w:val="4"/>
      </w:numPr>
      <w:spacing w:before="120" w:after="120" w:line="240" w:lineRule="auto"/>
      <w:outlineLvl w:val="2"/>
    </w:pPr>
    <w:rPr>
      <w:rFonts w:ascii="Arial" w:eastAsia="Times New Roman" w:hAnsi="Arial" w:cs="Arial"/>
      <w:b/>
      <w:smallCaps/>
      <w:sz w:val="24"/>
      <w:szCs w:val="20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955EA9"/>
    <w:pPr>
      <w:keepNext/>
      <w:numPr>
        <w:ilvl w:val="3"/>
        <w:numId w:val="4"/>
      </w:numPr>
      <w:spacing w:before="120" w:after="120" w:line="240" w:lineRule="auto"/>
      <w:outlineLvl w:val="3"/>
    </w:pPr>
    <w:rPr>
      <w:rFonts w:ascii="Arial" w:eastAsia="Times New Roman" w:hAnsi="Arial" w:cs="Arial"/>
      <w:b/>
      <w:smallCaps/>
      <w:szCs w:val="20"/>
      <w:lang w:eastAsia="ar-SA"/>
    </w:rPr>
  </w:style>
  <w:style w:type="paragraph" w:styleId="Nadpis5">
    <w:name w:val="heading 5"/>
    <w:basedOn w:val="Nadpis1"/>
    <w:next w:val="Normln"/>
    <w:link w:val="Nadpis5Char"/>
    <w:qFormat/>
    <w:rsid w:val="00955EA9"/>
    <w:pPr>
      <w:pageBreakBefore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60574"/>
    <w:pPr>
      <w:spacing w:after="0" w:line="240" w:lineRule="auto"/>
    </w:pPr>
    <w:rPr>
      <w:rFonts w:ascii="Arial" w:eastAsia="Times New Roman" w:hAnsi="Arial" w:cs="Arial"/>
    </w:rPr>
  </w:style>
  <w:style w:type="paragraph" w:styleId="Odstavecseseznamem">
    <w:name w:val="List Paragraph"/>
    <w:basedOn w:val="Normln"/>
    <w:uiPriority w:val="34"/>
    <w:qFormat/>
    <w:rsid w:val="002A45A9"/>
    <w:pPr>
      <w:suppressAutoHyphens/>
      <w:spacing w:after="0" w:line="240" w:lineRule="auto"/>
      <w:ind w:left="708"/>
      <w:jc w:val="both"/>
    </w:pPr>
    <w:rPr>
      <w:rFonts w:ascii="Arial" w:eastAsia="Times New Roman" w:hAnsi="Arial" w:cs="Arial"/>
      <w:szCs w:val="20"/>
      <w:lang w:eastAsia="ar-SA"/>
    </w:rPr>
  </w:style>
  <w:style w:type="character" w:styleId="Hypertextovodkaz">
    <w:name w:val="Hyperlink"/>
    <w:uiPriority w:val="99"/>
    <w:rsid w:val="00955EA9"/>
    <w:rPr>
      <w:color w:val="0000FF"/>
      <w:u w:val="single"/>
    </w:rPr>
  </w:style>
  <w:style w:type="paragraph" w:customStyle="1" w:styleId="Normlntextstudie">
    <w:name w:val="Normální text studie"/>
    <w:basedOn w:val="Normln"/>
    <w:qFormat/>
    <w:rsid w:val="00955EA9"/>
    <w:pPr>
      <w:numPr>
        <w:numId w:val="9"/>
      </w:numPr>
      <w:tabs>
        <w:tab w:val="left" w:pos="709"/>
      </w:tabs>
      <w:spacing w:after="120" w:line="240" w:lineRule="auto"/>
      <w:jc w:val="both"/>
    </w:pPr>
    <w:rPr>
      <w:rFonts w:ascii="Arial" w:eastAsia="Times New Roman" w:hAnsi="Arial" w:cs="Arial"/>
      <w:lang w:eastAsia="ar-SA"/>
    </w:rPr>
  </w:style>
  <w:style w:type="paragraph" w:styleId="Nzev">
    <w:name w:val="Title"/>
    <w:basedOn w:val="Normln"/>
    <w:next w:val="Normln"/>
    <w:link w:val="NzevChar"/>
    <w:qFormat/>
    <w:rsid w:val="00955EA9"/>
    <w:pPr>
      <w:spacing w:after="120" w:line="240" w:lineRule="auto"/>
      <w:jc w:val="center"/>
    </w:pPr>
    <w:rPr>
      <w:rFonts w:ascii="Arial" w:eastAsia="Times New Roman" w:hAnsi="Arial" w:cs="Arial"/>
      <w:smallCaps/>
      <w:sz w:val="48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955EA9"/>
    <w:rPr>
      <w:rFonts w:ascii="Arial" w:eastAsia="Times New Roman" w:hAnsi="Arial" w:cs="Arial"/>
      <w:smallCaps/>
      <w:sz w:val="48"/>
      <w:szCs w:val="20"/>
      <w:lang w:eastAsia="ar-SA"/>
    </w:rPr>
  </w:style>
  <w:style w:type="character" w:customStyle="1" w:styleId="Nadpis1Char">
    <w:name w:val="Nadpis 1 Char"/>
    <w:aliases w:val="aaa Char,název Char"/>
    <w:basedOn w:val="Standardnpsmoodstavce"/>
    <w:link w:val="Nadpis1"/>
    <w:uiPriority w:val="9"/>
    <w:rsid w:val="00955EA9"/>
    <w:rPr>
      <w:rFonts w:ascii="Arial" w:eastAsia="Times New Roman" w:hAnsi="Arial" w:cs="Arial"/>
      <w:b/>
      <w:smallCaps/>
      <w:kern w:val="1"/>
      <w:sz w:val="32"/>
      <w:szCs w:val="20"/>
      <w:lang w:eastAsia="ar-SA"/>
    </w:rPr>
  </w:style>
  <w:style w:type="character" w:customStyle="1" w:styleId="Nadpis2Char">
    <w:name w:val="Nadpis 2 Char"/>
    <w:aliases w:val="Nadpis 21 Char"/>
    <w:basedOn w:val="Standardnpsmoodstavce"/>
    <w:link w:val="Nadpis2"/>
    <w:rsid w:val="00955EA9"/>
    <w:rPr>
      <w:rFonts w:ascii="Arial" w:eastAsia="Times New Roman" w:hAnsi="Arial" w:cs="Arial"/>
      <w:b/>
      <w:smallCaps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955EA9"/>
    <w:rPr>
      <w:rFonts w:ascii="Arial" w:eastAsia="Times New Roman" w:hAnsi="Arial" w:cs="Arial"/>
      <w:b/>
      <w:smallCaps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rsid w:val="00955EA9"/>
    <w:rPr>
      <w:rFonts w:ascii="Arial" w:eastAsia="Times New Roman" w:hAnsi="Arial" w:cs="Arial"/>
      <w:b/>
      <w:smallCaps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955EA9"/>
    <w:rPr>
      <w:rFonts w:ascii="Arial" w:eastAsia="Times New Roman" w:hAnsi="Arial" w:cs="Arial"/>
      <w:b/>
      <w:smallCaps/>
      <w:kern w:val="1"/>
      <w:sz w:val="32"/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AE1AC1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kern w:val="0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AE1AC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E1AC1"/>
    <w:pPr>
      <w:spacing w:after="100"/>
      <w:ind w:left="440"/>
    </w:pPr>
  </w:style>
  <w:style w:type="paragraph" w:styleId="Obsah1">
    <w:name w:val="toc 1"/>
    <w:basedOn w:val="Normln"/>
    <w:next w:val="Normln"/>
    <w:autoRedefine/>
    <w:uiPriority w:val="39"/>
    <w:unhideWhenUsed/>
    <w:rsid w:val="00AE1AC1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E1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AC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948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8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8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8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8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E14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70A589BAF604EBE74388BF202338F" ma:contentTypeVersion="20" ma:contentTypeDescription="Vytvoří nový dokument" ma:contentTypeScope="" ma:versionID="70b06e649d122efcde64a37c53ce974d">
  <xsd:schema xmlns:xsd="http://www.w3.org/2001/XMLSchema" xmlns:xs="http://www.w3.org/2001/XMLSchema" xmlns:p="http://schemas.microsoft.com/office/2006/metadata/properties" xmlns:ns2="408b0431-2819-4d36-8b47-1ffa7618a449" xmlns:ns3="eeff0618-6b1b-4b49-b0a9-63004e7168eb" targetNamespace="http://schemas.microsoft.com/office/2006/metadata/properties" ma:root="true" ma:fieldsID="2393eedcdb5b6555ac4d2c201c6d17e4" ns2:_="" ns3:_="">
    <xsd:import namespace="408b0431-2819-4d36-8b47-1ffa7618a449"/>
    <xsd:import namespace="eeff0618-6b1b-4b49-b0a9-63004e716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b0431-2819-4d36-8b47-1ffa7618a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tav odsouhlasení" ma:internalName="Stav_x0020_odsouhlasen_x00ed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dce66e89-d446-416e-b133-0a50ebd52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f0618-6b1b-4b49-b0a9-63004e716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5040831-26ab-4f22-b96c-1aba519ffcd3}" ma:internalName="TaxCatchAll" ma:showField="CatchAllData" ma:web="eeff0618-6b1b-4b49-b0a9-63004e716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ff0618-6b1b-4b49-b0a9-63004e7168eb" xsi:nil="true"/>
    <_Flow_SignoffStatus xmlns="408b0431-2819-4d36-8b47-1ffa7618a449" xsi:nil="true"/>
    <lcf76f155ced4ddcb4097134ff3c332f xmlns="408b0431-2819-4d36-8b47-1ffa7618a4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F587BE-6B6B-4042-BB5A-1C332B548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265739-BA94-4DCE-8C52-C708A1EA676C}"/>
</file>

<file path=customXml/itemProps3.xml><?xml version="1.0" encoding="utf-8"?>
<ds:datastoreItem xmlns:ds="http://schemas.openxmlformats.org/officeDocument/2006/customXml" ds:itemID="{3AB53692-5E5E-4AA7-9CA5-335365453063}"/>
</file>

<file path=customXml/itemProps4.xml><?xml version="1.0" encoding="utf-8"?>
<ds:datastoreItem xmlns:ds="http://schemas.openxmlformats.org/officeDocument/2006/customXml" ds:itemID="{5F96CFA8-E7D8-480A-896A-ADCB05CF5A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1468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ewadmin</dc:creator>
  <cp:lastModifiedBy>petr.vogel</cp:lastModifiedBy>
  <cp:revision>2</cp:revision>
  <cp:lastPrinted>2022-06-16T14:20:00Z</cp:lastPrinted>
  <dcterms:created xsi:type="dcterms:W3CDTF">2025-03-18T12:37:00Z</dcterms:created>
  <dcterms:modified xsi:type="dcterms:W3CDTF">2025-03-18T12:37:00Z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0x0101006D870A589BAF604EBE74388BF202338F</vt:lpwstr>
  </property>
</Properties>
</file>